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56" w:rsidRPr="004D462A" w:rsidRDefault="00961556" w:rsidP="00961556">
      <w:pPr>
        <w:pStyle w:val="Overskrift2"/>
      </w:pPr>
      <w:r w:rsidRPr="004D462A">
        <w:t xml:space="preserve">Annex 1 – Project planning document </w:t>
      </w:r>
    </w:p>
    <w:p w:rsidR="00961556" w:rsidRDefault="00961556" w:rsidP="00961556"/>
    <w:p w:rsidR="00961556" w:rsidRDefault="00961556" w:rsidP="00961556">
      <w:pPr>
        <w:rPr>
          <w:b/>
        </w:rPr>
      </w:pPr>
      <w:r w:rsidRPr="004D462A">
        <w:rPr>
          <w:b/>
        </w:rPr>
        <w:t>Project Brief</w:t>
      </w:r>
      <w:r w:rsidR="00540F8C">
        <w:rPr>
          <w:b/>
        </w:rPr>
        <w:t xml:space="preserve">: </w:t>
      </w:r>
    </w:p>
    <w:p w:rsidR="00540F8C" w:rsidRPr="004D462A" w:rsidRDefault="00540F8C" w:rsidP="00961556">
      <w:pPr>
        <w:rPr>
          <w:b/>
        </w:rPr>
      </w:pPr>
      <w:r w:rsidRPr="00AD7C75">
        <w:rPr>
          <w:szCs w:val="28"/>
        </w:rPr>
        <w:t>To collect good practice in the area of Braille teaching as well as evidence of the importance of Braille literacy</w:t>
      </w:r>
      <w:r w:rsidRPr="00AD7C75">
        <w:rPr>
          <w:color w:val="1F497D"/>
          <w:szCs w:val="28"/>
        </w:rPr>
        <w:t>.</w:t>
      </w:r>
    </w:p>
    <w:p w:rsidR="00961556" w:rsidRPr="004D462A" w:rsidRDefault="00961556" w:rsidP="00961556"/>
    <w:p w:rsidR="00540F8C" w:rsidRPr="00AD7C75" w:rsidRDefault="00961556" w:rsidP="00540F8C">
      <w:pPr>
        <w:rPr>
          <w:color w:val="1F497D"/>
          <w:szCs w:val="28"/>
        </w:rPr>
      </w:pPr>
      <w:r w:rsidRPr="004D462A">
        <w:rPr>
          <w:b/>
        </w:rPr>
        <w:t>Project Name</w:t>
      </w:r>
      <w:r w:rsidRPr="004D462A">
        <w:t>:</w:t>
      </w:r>
      <w:r w:rsidR="00B26675">
        <w:t xml:space="preserve"> </w:t>
      </w:r>
    </w:p>
    <w:p w:rsidR="00540F8C" w:rsidRPr="00AD7C75" w:rsidRDefault="00540F8C" w:rsidP="00540F8C">
      <w:pPr>
        <w:rPr>
          <w:szCs w:val="28"/>
        </w:rPr>
      </w:pPr>
      <w:r>
        <w:rPr>
          <w:szCs w:val="28"/>
        </w:rPr>
        <w:t xml:space="preserve">Training and propagation of Braille </w:t>
      </w:r>
    </w:p>
    <w:p w:rsidR="00961556" w:rsidRDefault="00961556" w:rsidP="00961556">
      <w:r w:rsidRPr="004D462A">
        <w:tab/>
      </w:r>
    </w:p>
    <w:p w:rsidR="00B26675" w:rsidRPr="004D462A" w:rsidRDefault="00B26675" w:rsidP="00961556"/>
    <w:p w:rsidR="00961556" w:rsidRPr="00540F8C" w:rsidRDefault="00961556" w:rsidP="00961556">
      <w:r w:rsidRPr="004D462A">
        <w:rPr>
          <w:b/>
        </w:rPr>
        <w:t>Project leader:</w:t>
      </w:r>
      <w:r w:rsidR="00B26675">
        <w:rPr>
          <w:b/>
        </w:rPr>
        <w:t xml:space="preserve"> </w:t>
      </w:r>
      <w:r w:rsidR="00540F8C">
        <w:rPr>
          <w:b/>
        </w:rPr>
        <w:br/>
      </w:r>
      <w:r w:rsidR="00B26675" w:rsidRPr="00540F8C">
        <w:t>John Heilbrunn, VP, DAB</w:t>
      </w:r>
    </w:p>
    <w:p w:rsidR="00961556" w:rsidRPr="004D462A" w:rsidRDefault="00961556" w:rsidP="00961556"/>
    <w:p w:rsidR="00961556" w:rsidRPr="00540F8C" w:rsidRDefault="00961556" w:rsidP="00961556">
      <w:r w:rsidRPr="004D462A">
        <w:rPr>
          <w:b/>
        </w:rPr>
        <w:t>Date of brief:</w:t>
      </w:r>
      <w:r w:rsidR="00B26675">
        <w:rPr>
          <w:b/>
        </w:rPr>
        <w:t xml:space="preserve"> </w:t>
      </w:r>
      <w:r w:rsidR="00540F8C">
        <w:rPr>
          <w:b/>
        </w:rPr>
        <w:br/>
      </w:r>
      <w:r w:rsidR="002B7AE7">
        <w:t>26</w:t>
      </w:r>
      <w:r w:rsidR="00F54545">
        <w:t xml:space="preserve"> </w:t>
      </w:r>
      <w:proofErr w:type="gramStart"/>
      <w:r w:rsidR="00B26675" w:rsidRPr="00540F8C">
        <w:rPr>
          <w:vertAlign w:val="superscript"/>
        </w:rPr>
        <w:t>th</w:t>
      </w:r>
      <w:proofErr w:type="gramEnd"/>
      <w:r w:rsidR="00B26675" w:rsidRPr="00540F8C">
        <w:t xml:space="preserve"> February 2016</w:t>
      </w:r>
    </w:p>
    <w:p w:rsidR="00961556" w:rsidRPr="004D462A" w:rsidRDefault="00961556" w:rsidP="00961556">
      <w:r w:rsidRPr="004D462A">
        <w:t>__________________________</w:t>
      </w:r>
      <w:r>
        <w:t>___________________________</w:t>
      </w:r>
    </w:p>
    <w:p w:rsidR="00961556" w:rsidRPr="004D462A" w:rsidRDefault="00961556" w:rsidP="00961556"/>
    <w:p w:rsidR="00961556" w:rsidRPr="004D462A" w:rsidRDefault="00961556" w:rsidP="00961556"/>
    <w:p w:rsidR="00B26675" w:rsidRPr="004D462A" w:rsidRDefault="00961556" w:rsidP="00961556">
      <w:pPr>
        <w:rPr>
          <w:b/>
        </w:rPr>
      </w:pPr>
      <w:r w:rsidRPr="004D462A">
        <w:rPr>
          <w:b/>
        </w:rPr>
        <w:t>1. Overview</w:t>
      </w:r>
    </w:p>
    <w:p w:rsidR="00961556" w:rsidRPr="004D462A" w:rsidRDefault="00961556" w:rsidP="00961556"/>
    <w:p w:rsidR="00961556" w:rsidRDefault="00961556" w:rsidP="00961556">
      <w:pPr>
        <w:rPr>
          <w:b/>
        </w:rPr>
      </w:pPr>
      <w:r w:rsidRPr="004D462A">
        <w:rPr>
          <w:b/>
        </w:rPr>
        <w:t>1.1 Projec</w:t>
      </w:r>
      <w:r w:rsidR="00071101">
        <w:rPr>
          <w:b/>
        </w:rPr>
        <w:t xml:space="preserve">t </w:t>
      </w:r>
      <w:r w:rsidRPr="004D462A">
        <w:rPr>
          <w:b/>
        </w:rPr>
        <w:t>objective(s)</w:t>
      </w:r>
      <w:r w:rsidR="002B7AE7">
        <w:rPr>
          <w:b/>
        </w:rPr>
        <w:br/>
      </w:r>
    </w:p>
    <w:p w:rsidR="00E0187B" w:rsidRPr="002B7AE7" w:rsidRDefault="00E0187B" w:rsidP="002B7AE7">
      <w:pPr>
        <w:pStyle w:val="Listeafsnit"/>
        <w:numPr>
          <w:ilvl w:val="0"/>
          <w:numId w:val="2"/>
        </w:numPr>
      </w:pPr>
      <w:r w:rsidRPr="002B7AE7">
        <w:t xml:space="preserve">The objectives are to map out existing best practices for efficient and qualitatively rewarding </w:t>
      </w:r>
      <w:r w:rsidR="002B7AE7" w:rsidRPr="002B7AE7">
        <w:t>braille</w:t>
      </w:r>
      <w:r w:rsidRPr="002B7AE7">
        <w:t xml:space="preserve"> training</w:t>
      </w:r>
      <w:r w:rsidR="002B7AE7" w:rsidRPr="002B7AE7">
        <w:t>.</w:t>
      </w:r>
    </w:p>
    <w:p w:rsidR="00E0187B" w:rsidRPr="002B7AE7" w:rsidRDefault="00E0187B" w:rsidP="002B7AE7">
      <w:pPr>
        <w:pStyle w:val="Listeafsnit"/>
        <w:numPr>
          <w:ilvl w:val="0"/>
          <w:numId w:val="2"/>
        </w:numPr>
      </w:pPr>
      <w:r w:rsidRPr="002B7AE7">
        <w:t xml:space="preserve">How cross-learning may lead to a catalogue of best practice approaches on how to make blind and severely partially sighted children and youths proficient </w:t>
      </w:r>
      <w:r w:rsidR="00F54545">
        <w:t xml:space="preserve">braille readers, writers and/or </w:t>
      </w:r>
      <w:r w:rsidRPr="002B7AE7">
        <w:t>users</w:t>
      </w:r>
      <w:r w:rsidR="002B7AE7">
        <w:t>.</w:t>
      </w:r>
    </w:p>
    <w:p w:rsidR="00E0187B" w:rsidRPr="002B7AE7" w:rsidRDefault="002B7AE7" w:rsidP="002B7AE7">
      <w:pPr>
        <w:pStyle w:val="Listeafsnit"/>
        <w:numPr>
          <w:ilvl w:val="0"/>
          <w:numId w:val="2"/>
        </w:numPr>
      </w:pPr>
      <w:r w:rsidRPr="002B7AE7">
        <w:t>How to promote the availability</w:t>
      </w:r>
      <w:r>
        <w:t xml:space="preserve"> </w:t>
      </w:r>
      <w:r w:rsidR="00E0187B" w:rsidRPr="002B7AE7">
        <w:t xml:space="preserve">of </w:t>
      </w:r>
      <w:r w:rsidRPr="002B7AE7">
        <w:t>braille</w:t>
      </w:r>
      <w:r w:rsidR="00E0187B" w:rsidRPr="002B7AE7">
        <w:t xml:space="preserve"> in all relevant situations and environments in society including the educational sector and to enhance accessibility through the presence of labelling, signage etc.</w:t>
      </w:r>
    </w:p>
    <w:p w:rsidR="00961556" w:rsidRPr="004D462A" w:rsidRDefault="00961556" w:rsidP="00961556"/>
    <w:p w:rsidR="00540F8C" w:rsidRDefault="00540F8C" w:rsidP="00961556">
      <w:pPr>
        <w:rPr>
          <w:b/>
        </w:rPr>
      </w:pPr>
    </w:p>
    <w:p w:rsidR="00961556" w:rsidRPr="004D462A" w:rsidRDefault="00961556" w:rsidP="00961556">
      <w:pPr>
        <w:rPr>
          <w:b/>
        </w:rPr>
      </w:pPr>
      <w:r w:rsidRPr="004D462A">
        <w:rPr>
          <w:b/>
        </w:rPr>
        <w:t>1.2 Benefits / Outcomes</w:t>
      </w:r>
    </w:p>
    <w:p w:rsidR="00961556" w:rsidRPr="004D462A" w:rsidRDefault="00961556" w:rsidP="00961556"/>
    <w:p w:rsidR="0055761B" w:rsidRPr="0055761B" w:rsidRDefault="0055761B" w:rsidP="0055761B">
      <w:pPr>
        <w:pStyle w:val="Listeafsnit"/>
        <w:numPr>
          <w:ilvl w:val="0"/>
          <w:numId w:val="1"/>
        </w:numPr>
        <w:rPr>
          <w:lang w:val="en-US"/>
        </w:rPr>
      </w:pPr>
      <w:r w:rsidRPr="0055761B">
        <w:rPr>
          <w:lang w:val="en-US"/>
        </w:rPr>
        <w:t xml:space="preserve">Increased knowledge about various methods and tools to stimulate children and youths to understand and master the reading and writing of braille both on paper and on electronic devices.  </w:t>
      </w:r>
    </w:p>
    <w:p w:rsidR="0055761B" w:rsidRPr="0055761B" w:rsidRDefault="0055761B" w:rsidP="0055761B">
      <w:pPr>
        <w:pStyle w:val="Listeafsnit"/>
        <w:numPr>
          <w:ilvl w:val="0"/>
          <w:numId w:val="1"/>
        </w:numPr>
        <w:rPr>
          <w:lang w:val="en-US"/>
        </w:rPr>
      </w:pPr>
      <w:r w:rsidRPr="0055761B">
        <w:rPr>
          <w:lang w:val="en-US"/>
        </w:rPr>
        <w:lastRenderedPageBreak/>
        <w:t>Ways to ensure equal performance and opportunities in educational and leisure settings by using braille in communication, games, practical notetaking etc.</w:t>
      </w:r>
    </w:p>
    <w:p w:rsidR="0055761B" w:rsidRPr="0055761B" w:rsidRDefault="0055761B" w:rsidP="0055761B">
      <w:pPr>
        <w:pStyle w:val="Listeafsnit"/>
        <w:numPr>
          <w:ilvl w:val="0"/>
          <w:numId w:val="1"/>
        </w:numPr>
        <w:rPr>
          <w:lang w:val="en-US"/>
        </w:rPr>
      </w:pPr>
      <w:r w:rsidRPr="0055761B">
        <w:rPr>
          <w:lang w:val="en-US"/>
        </w:rPr>
        <w:t>Obtain an overview of how to ensure that there are conversant and professional trainers and instructors i</w:t>
      </w:r>
      <w:r w:rsidR="00F54545">
        <w:rPr>
          <w:lang w:val="en-US"/>
        </w:rPr>
        <w:t xml:space="preserve">n braille reading, writing and </w:t>
      </w:r>
      <w:r w:rsidRPr="0055761B">
        <w:rPr>
          <w:lang w:val="en-US"/>
        </w:rPr>
        <w:t>ther</w:t>
      </w:r>
      <w:r w:rsidR="00F54545">
        <w:rPr>
          <w:lang w:val="en-US"/>
        </w:rPr>
        <w:t>e</w:t>
      </w:r>
      <w:r w:rsidRPr="0055761B">
        <w:rPr>
          <w:lang w:val="en-US"/>
        </w:rPr>
        <w:t xml:space="preserve">wise usage of braille in the central educational settings, in the mainstream school (special needs departments) and at special resource </w:t>
      </w:r>
      <w:r w:rsidR="00F54545" w:rsidRPr="0055761B">
        <w:rPr>
          <w:lang w:val="en-US"/>
        </w:rPr>
        <w:t>centers</w:t>
      </w:r>
      <w:r w:rsidRPr="0055761B">
        <w:rPr>
          <w:lang w:val="en-US"/>
        </w:rPr>
        <w:t>.</w:t>
      </w:r>
    </w:p>
    <w:p w:rsidR="00961556" w:rsidRPr="0055761B" w:rsidRDefault="00961556" w:rsidP="00961556">
      <w:pPr>
        <w:rPr>
          <w:lang w:val="en-US"/>
        </w:rPr>
      </w:pPr>
    </w:p>
    <w:p w:rsidR="00540F8C" w:rsidRPr="004D462A" w:rsidRDefault="00540F8C" w:rsidP="00961556"/>
    <w:p w:rsidR="00961556" w:rsidRPr="004D462A" w:rsidRDefault="00961556" w:rsidP="00961556">
      <w:pPr>
        <w:rPr>
          <w:b/>
        </w:rPr>
      </w:pPr>
      <w:r w:rsidRPr="004D462A">
        <w:rPr>
          <w:b/>
        </w:rPr>
        <w:t>2. Scheduling/Phasing</w:t>
      </w:r>
    </w:p>
    <w:p w:rsidR="00961556" w:rsidRPr="004D462A" w:rsidRDefault="00961556" w:rsidP="00961556"/>
    <w:p w:rsidR="0055761B" w:rsidRDefault="0055761B" w:rsidP="0055761B">
      <w:pPr>
        <w:rPr>
          <w:lang w:val="en-US"/>
        </w:rPr>
      </w:pPr>
      <w:r>
        <w:rPr>
          <w:lang w:val="en-US"/>
        </w:rPr>
        <w:t>The project is phased into two parts, one first phase focusing on experience in Denmark and Nordic countries (2016) and the second involving 2-3 other European countries to obtain a diverse and differentiated picture of various ways to address challenges to obtain the set objectives through various methods, tools and settings.</w:t>
      </w:r>
    </w:p>
    <w:p w:rsidR="0055761B" w:rsidRDefault="0055761B" w:rsidP="0055761B">
      <w:pPr>
        <w:rPr>
          <w:lang w:val="en-US"/>
        </w:rPr>
      </w:pPr>
    </w:p>
    <w:p w:rsidR="00E0187B" w:rsidRDefault="00E0187B" w:rsidP="0055761B">
      <w:pPr>
        <w:rPr>
          <w:lang w:val="en-US"/>
        </w:rPr>
      </w:pPr>
      <w:r>
        <w:rPr>
          <w:lang w:val="en-US"/>
        </w:rPr>
        <w:t>The project will include the following activities:</w:t>
      </w:r>
    </w:p>
    <w:p w:rsidR="00F54545" w:rsidRDefault="00F54545" w:rsidP="0055761B">
      <w:pPr>
        <w:rPr>
          <w:lang w:val="en-US"/>
        </w:rPr>
      </w:pPr>
    </w:p>
    <w:p w:rsidR="00E0187B" w:rsidRDefault="00D14B5D" w:rsidP="0055761B">
      <w:pPr>
        <w:rPr>
          <w:lang w:val="en-US"/>
        </w:rPr>
      </w:pPr>
      <w:r>
        <w:rPr>
          <w:lang w:val="en-US"/>
        </w:rPr>
        <w:t>2016:</w:t>
      </w:r>
    </w:p>
    <w:p w:rsidR="00D14B5D" w:rsidRPr="00F54545" w:rsidRDefault="00F54545" w:rsidP="00F54545">
      <w:pPr>
        <w:pStyle w:val="Listeafsnit"/>
        <w:numPr>
          <w:ilvl w:val="0"/>
          <w:numId w:val="3"/>
        </w:numPr>
        <w:rPr>
          <w:lang w:val="en-US"/>
        </w:rPr>
      </w:pPr>
      <w:r>
        <w:rPr>
          <w:lang w:val="en-US"/>
        </w:rPr>
        <w:t>A</w:t>
      </w:r>
      <w:r w:rsidR="00D14B5D" w:rsidRPr="00F54545">
        <w:rPr>
          <w:lang w:val="en-US"/>
        </w:rPr>
        <w:t xml:space="preserve"> two day workshop with participation from the Nordic countries where various </w:t>
      </w:r>
      <w:r w:rsidRPr="00F54545">
        <w:rPr>
          <w:lang w:val="en-US"/>
        </w:rPr>
        <w:t>pedagogic</w:t>
      </w:r>
      <w:r w:rsidR="00D14B5D" w:rsidRPr="00F54545">
        <w:rPr>
          <w:lang w:val="en-US"/>
        </w:rPr>
        <w:t xml:space="preserve"> approaches on braille training for </w:t>
      </w:r>
      <w:r w:rsidR="00C478D1" w:rsidRPr="00F54545">
        <w:rPr>
          <w:lang w:val="en-US"/>
        </w:rPr>
        <w:t xml:space="preserve">diverse groups will be analyzed and </w:t>
      </w:r>
      <w:r w:rsidRPr="00F54545">
        <w:rPr>
          <w:lang w:val="en-US"/>
        </w:rPr>
        <w:t>strengths</w:t>
      </w:r>
      <w:r w:rsidR="00C478D1" w:rsidRPr="00F54545">
        <w:rPr>
          <w:lang w:val="en-US"/>
        </w:rPr>
        <w:t xml:space="preserve"> and drawbacks will be identified</w:t>
      </w:r>
    </w:p>
    <w:p w:rsidR="00C478D1" w:rsidRPr="00F54545" w:rsidRDefault="00C478D1" w:rsidP="00F54545">
      <w:pPr>
        <w:pStyle w:val="Listeafsnit"/>
        <w:numPr>
          <w:ilvl w:val="0"/>
          <w:numId w:val="3"/>
        </w:numPr>
        <w:rPr>
          <w:lang w:val="en-US"/>
        </w:rPr>
      </w:pPr>
      <w:r w:rsidRPr="00F54545">
        <w:rPr>
          <w:lang w:val="en-US"/>
        </w:rPr>
        <w:t xml:space="preserve">Design of a questionnaire directed towards blind braille readers and users (preferably various groups </w:t>
      </w:r>
      <w:r w:rsidR="00F54545" w:rsidRPr="00F54545">
        <w:rPr>
          <w:lang w:val="en-US"/>
        </w:rPr>
        <w:t>age wise</w:t>
      </w:r>
      <w:r w:rsidRPr="00F54545">
        <w:rPr>
          <w:lang w:val="en-US"/>
        </w:rPr>
        <w:t>) to acquire concrete knowledge about practice and user assessments</w:t>
      </w:r>
    </w:p>
    <w:p w:rsidR="00C478D1" w:rsidRPr="00F54545" w:rsidRDefault="00C478D1" w:rsidP="00F54545">
      <w:pPr>
        <w:pStyle w:val="Listeafsnit"/>
        <w:numPr>
          <w:ilvl w:val="0"/>
          <w:numId w:val="3"/>
        </w:numPr>
        <w:rPr>
          <w:lang w:val="en-US"/>
        </w:rPr>
      </w:pPr>
      <w:r w:rsidRPr="00F54545">
        <w:rPr>
          <w:lang w:val="en-US"/>
        </w:rPr>
        <w:t xml:space="preserve">Desk study and search into literature from around the world that together with the workshop results will serve as the basis for recommendations on improved training and teaching </w:t>
      </w:r>
    </w:p>
    <w:p w:rsidR="00C478D1" w:rsidRDefault="00C478D1" w:rsidP="0055761B">
      <w:pPr>
        <w:rPr>
          <w:lang w:val="en-US"/>
        </w:rPr>
      </w:pPr>
    </w:p>
    <w:p w:rsidR="00F54545" w:rsidRDefault="00C478D1" w:rsidP="0055761B">
      <w:pPr>
        <w:rPr>
          <w:lang w:val="en-US"/>
        </w:rPr>
      </w:pPr>
      <w:r>
        <w:rPr>
          <w:lang w:val="en-US"/>
        </w:rPr>
        <w:t>2017:</w:t>
      </w:r>
    </w:p>
    <w:p w:rsidR="00C478D1" w:rsidRPr="00F54545" w:rsidRDefault="00C478D1" w:rsidP="00F54545">
      <w:pPr>
        <w:pStyle w:val="Listeafsnit"/>
        <w:numPr>
          <w:ilvl w:val="0"/>
          <w:numId w:val="4"/>
        </w:numPr>
        <w:rPr>
          <w:lang w:val="en-US"/>
        </w:rPr>
      </w:pPr>
      <w:r w:rsidRPr="00F54545">
        <w:rPr>
          <w:lang w:val="en-US"/>
        </w:rPr>
        <w:t xml:space="preserve">Collection through email correspondence and on the spot visits to institutions in 3-5 </w:t>
      </w:r>
      <w:r w:rsidR="00F54545" w:rsidRPr="00F54545">
        <w:rPr>
          <w:lang w:val="en-US"/>
        </w:rPr>
        <w:t>European</w:t>
      </w:r>
      <w:r w:rsidRPr="00F54545">
        <w:rPr>
          <w:lang w:val="en-US"/>
        </w:rPr>
        <w:t xml:space="preserve"> countries to collect knowledge,  applied practices and experience on braille training and production of teaching materials in the field of braille usage</w:t>
      </w:r>
      <w:r w:rsidR="00F54545">
        <w:rPr>
          <w:lang w:val="en-US"/>
        </w:rPr>
        <w:t>.</w:t>
      </w:r>
    </w:p>
    <w:p w:rsidR="00C478D1" w:rsidRPr="00F54545" w:rsidRDefault="00F54545" w:rsidP="00F54545">
      <w:pPr>
        <w:pStyle w:val="Listeafsnit"/>
        <w:numPr>
          <w:ilvl w:val="0"/>
          <w:numId w:val="4"/>
        </w:numPr>
        <w:rPr>
          <w:lang w:val="en-US"/>
        </w:rPr>
      </w:pPr>
      <w:r>
        <w:rPr>
          <w:lang w:val="en-US"/>
        </w:rPr>
        <w:lastRenderedPageBreak/>
        <w:t>A</w:t>
      </w:r>
      <w:r w:rsidR="00C478D1" w:rsidRPr="00F54545">
        <w:rPr>
          <w:lang w:val="en-US"/>
        </w:rPr>
        <w:t>ll the above will result in a framework for a multi-faceted and updated set of recommendations that might also include such tools as remote (long distance) brail</w:t>
      </w:r>
      <w:r>
        <w:rPr>
          <w:lang w:val="en-US"/>
        </w:rPr>
        <w:t>le training applying ICT</w:t>
      </w:r>
      <w:r w:rsidR="00C478D1" w:rsidRPr="00F54545">
        <w:rPr>
          <w:lang w:val="en-US"/>
        </w:rPr>
        <w:t xml:space="preserve"> technology which will be tested in the field with a group of persons that are blind in selected countries</w:t>
      </w:r>
    </w:p>
    <w:p w:rsidR="00961556" w:rsidRPr="00F54545" w:rsidRDefault="00F54545" w:rsidP="00F54545">
      <w:pPr>
        <w:pStyle w:val="Listeafsnit"/>
        <w:numPr>
          <w:ilvl w:val="0"/>
          <w:numId w:val="4"/>
        </w:numPr>
        <w:rPr>
          <w:lang w:val="en-US"/>
        </w:rPr>
      </w:pPr>
      <w:r>
        <w:rPr>
          <w:lang w:val="en-US"/>
        </w:rPr>
        <w:t>A</w:t>
      </w:r>
      <w:r w:rsidR="00C478D1" w:rsidRPr="00F54545">
        <w:rPr>
          <w:lang w:val="en-US"/>
        </w:rPr>
        <w:t xml:space="preserve"> final report with findings and recommendations be submitted within the Nordic countries and to the EBU </w:t>
      </w:r>
      <w:r w:rsidR="001B0B17" w:rsidRPr="00F54545">
        <w:rPr>
          <w:lang w:val="en-US"/>
        </w:rPr>
        <w:t>- if feasible at a EBU conference</w:t>
      </w:r>
    </w:p>
    <w:p w:rsidR="00F54545" w:rsidRDefault="00F54545" w:rsidP="00961556">
      <w:pPr>
        <w:rPr>
          <w:b/>
          <w:lang w:val="en-US"/>
        </w:rPr>
      </w:pPr>
    </w:p>
    <w:p w:rsidR="00961556" w:rsidRDefault="00961556" w:rsidP="00961556">
      <w:pPr>
        <w:rPr>
          <w:b/>
        </w:rPr>
      </w:pPr>
      <w:r w:rsidRPr="004D462A">
        <w:rPr>
          <w:b/>
        </w:rPr>
        <w:t>3. Who is involved and project costs</w:t>
      </w:r>
    </w:p>
    <w:p w:rsidR="0055761B" w:rsidRDefault="0055761B" w:rsidP="0055761B">
      <w:pPr>
        <w:rPr>
          <w:lang w:val="en-US"/>
        </w:rPr>
      </w:pPr>
    </w:p>
    <w:p w:rsidR="00F54545" w:rsidRDefault="0055761B" w:rsidP="0055761B">
      <w:pPr>
        <w:rPr>
          <w:lang w:val="en-US"/>
        </w:rPr>
      </w:pPr>
      <w:r>
        <w:rPr>
          <w:lang w:val="en-US"/>
        </w:rPr>
        <w:t xml:space="preserve">Total cost of project is </w:t>
      </w:r>
      <w:r w:rsidRPr="00276CEA">
        <w:rPr>
          <w:color w:val="000000" w:themeColor="text1"/>
          <w:szCs w:val="28"/>
          <w:lang w:val="en-US"/>
        </w:rPr>
        <w:t xml:space="preserve">estimated at </w:t>
      </w:r>
      <w:r w:rsidR="00276CEA" w:rsidRPr="00F54545">
        <w:rPr>
          <w:rFonts w:cs="Arial"/>
          <w:color w:val="000000" w:themeColor="text1"/>
          <w:szCs w:val="28"/>
          <w:shd w:val="clear" w:color="auto" w:fill="F8F8F8"/>
        </w:rPr>
        <w:t>90.463,78</w:t>
      </w:r>
      <w:r w:rsidR="00276CEA" w:rsidRPr="00F54545">
        <w:rPr>
          <w:color w:val="000000" w:themeColor="text1"/>
          <w:szCs w:val="28"/>
          <w:lang w:val="en-US"/>
        </w:rPr>
        <w:t xml:space="preserve"> </w:t>
      </w:r>
      <w:r w:rsidR="00276CEA" w:rsidRPr="00276CEA">
        <w:rPr>
          <w:color w:val="000000" w:themeColor="text1"/>
          <w:szCs w:val="28"/>
          <w:lang w:val="en-US"/>
        </w:rPr>
        <w:t>euros</w:t>
      </w:r>
      <w:r w:rsidR="00276CEA">
        <w:rPr>
          <w:lang w:val="en-US"/>
        </w:rPr>
        <w:t xml:space="preserve">. </w:t>
      </w:r>
    </w:p>
    <w:p w:rsidR="00F54545" w:rsidRDefault="00F54545" w:rsidP="0055761B">
      <w:pPr>
        <w:rPr>
          <w:lang w:val="en-US"/>
        </w:rPr>
      </w:pPr>
    </w:p>
    <w:p w:rsidR="0055761B" w:rsidRDefault="0055761B" w:rsidP="0055761B">
      <w:pPr>
        <w:rPr>
          <w:lang w:val="en-US"/>
        </w:rPr>
      </w:pPr>
      <w:r>
        <w:rPr>
          <w:lang w:val="en-US"/>
        </w:rPr>
        <w:t>Resource person from ICEVI (Finland), desk officer from Swedish organization of the Blind (SRF), Cecilie Ekstrand, one participant from  third EBU organization (e.g. Marcus wolf, Austria) will be involved as part of steering group.</w:t>
      </w:r>
    </w:p>
    <w:p w:rsidR="00276CEA" w:rsidRDefault="00276CEA" w:rsidP="0055761B">
      <w:pPr>
        <w:rPr>
          <w:lang w:val="en-US"/>
        </w:rPr>
      </w:pPr>
    </w:p>
    <w:p w:rsidR="0055761B" w:rsidRDefault="0055761B" w:rsidP="0055761B">
      <w:pPr>
        <w:rPr>
          <w:lang w:val="en-US"/>
        </w:rPr>
      </w:pPr>
      <w:r>
        <w:rPr>
          <w:lang w:val="en-US"/>
        </w:rPr>
        <w:t>Besides, resource persons from organizations of the blind and schools / resource centres with special knowledge about visually impaired children and their needs will contribute to the collection of practices.</w:t>
      </w:r>
    </w:p>
    <w:p w:rsidR="00F54545" w:rsidRDefault="00F54545" w:rsidP="0055761B">
      <w:pPr>
        <w:rPr>
          <w:lang w:val="en-US"/>
        </w:rPr>
      </w:pPr>
    </w:p>
    <w:p w:rsidR="0055761B" w:rsidRDefault="0055761B" w:rsidP="0055761B">
      <w:pPr>
        <w:rPr>
          <w:lang w:val="en-US"/>
        </w:rPr>
      </w:pPr>
      <w:r>
        <w:rPr>
          <w:lang w:val="en-US"/>
        </w:rPr>
        <w:t>In the pr</w:t>
      </w:r>
      <w:r w:rsidR="00276CEA">
        <w:rPr>
          <w:lang w:val="en-US"/>
        </w:rPr>
        <w:t xml:space="preserve">eliminary desk study, research </w:t>
      </w:r>
      <w:r>
        <w:rPr>
          <w:lang w:val="en-US"/>
        </w:rPr>
        <w:t>from scientific and practical tests and analyses wi</w:t>
      </w:r>
      <w:r w:rsidR="00276CEA">
        <w:rPr>
          <w:lang w:val="en-US"/>
        </w:rPr>
        <w:t>ll</w:t>
      </w:r>
      <w:r>
        <w:rPr>
          <w:lang w:val="en-US"/>
        </w:rPr>
        <w:t xml:space="preserve"> be included.</w:t>
      </w:r>
    </w:p>
    <w:p w:rsidR="0055761B" w:rsidRPr="0055761B" w:rsidRDefault="0055761B" w:rsidP="00961556">
      <w:pPr>
        <w:rPr>
          <w:b/>
          <w:lang w:val="en-US"/>
        </w:rPr>
      </w:pPr>
    </w:p>
    <w:p w:rsidR="00961556" w:rsidRPr="004D462A" w:rsidRDefault="00961556" w:rsidP="00961556"/>
    <w:p w:rsidR="00961556" w:rsidRPr="004D462A" w:rsidRDefault="00961556" w:rsidP="00961556">
      <w:pPr>
        <w:rPr>
          <w:b/>
        </w:rPr>
      </w:pPr>
      <w:r w:rsidRPr="004D462A">
        <w:rPr>
          <w:b/>
        </w:rPr>
        <w:t>3.1 Cost of project</w:t>
      </w:r>
    </w:p>
    <w:p w:rsidR="00276CEA" w:rsidRDefault="00276CEA" w:rsidP="00961556">
      <w:pPr>
        <w:rPr>
          <w:rFonts w:cs="Arial"/>
          <w:color w:val="000000" w:themeColor="text1"/>
          <w:szCs w:val="28"/>
          <w:shd w:val="clear" w:color="auto" w:fill="F8F8F8"/>
        </w:rPr>
      </w:pPr>
    </w:p>
    <w:p w:rsidR="00961556" w:rsidRDefault="00276CEA" w:rsidP="00961556">
      <w:pPr>
        <w:rPr>
          <w:rFonts w:cs="Arial"/>
          <w:color w:val="000000" w:themeColor="text1"/>
          <w:szCs w:val="28"/>
          <w:shd w:val="clear" w:color="auto" w:fill="F8F8F8"/>
        </w:rPr>
      </w:pPr>
      <w:r>
        <w:rPr>
          <w:rFonts w:cs="Arial"/>
          <w:color w:val="000000" w:themeColor="text1"/>
          <w:szCs w:val="28"/>
          <w:shd w:val="clear" w:color="auto" w:fill="F8F8F8"/>
        </w:rPr>
        <w:t>90.463,</w:t>
      </w:r>
      <w:r w:rsidRPr="00276CEA">
        <w:rPr>
          <w:rFonts w:cs="Arial"/>
          <w:color w:val="000000" w:themeColor="text1"/>
          <w:szCs w:val="28"/>
          <w:shd w:val="clear" w:color="auto" w:fill="F8F8F8"/>
        </w:rPr>
        <w:t>78</w:t>
      </w:r>
      <w:r>
        <w:rPr>
          <w:rFonts w:cs="Arial"/>
          <w:color w:val="000000" w:themeColor="text1"/>
          <w:szCs w:val="28"/>
          <w:shd w:val="clear" w:color="auto" w:fill="F8F8F8"/>
        </w:rPr>
        <w:t xml:space="preserve"> euros.</w:t>
      </w:r>
    </w:p>
    <w:p w:rsidR="00276CEA" w:rsidRPr="004D462A" w:rsidRDefault="00276CEA" w:rsidP="00961556"/>
    <w:p w:rsidR="00637AD2" w:rsidRDefault="00637AD2" w:rsidP="00961556">
      <w:pPr>
        <w:rPr>
          <w:b/>
        </w:rPr>
      </w:pPr>
    </w:p>
    <w:p w:rsidR="00961556" w:rsidRPr="004D462A" w:rsidRDefault="00961556" w:rsidP="00961556">
      <w:pPr>
        <w:rPr>
          <w:b/>
        </w:rPr>
      </w:pPr>
      <w:r w:rsidRPr="004D462A">
        <w:rPr>
          <w:b/>
        </w:rPr>
        <w:t>3.2. Teams and Partners Contributing</w:t>
      </w:r>
    </w:p>
    <w:p w:rsidR="00961556" w:rsidRDefault="00961556" w:rsidP="00961556">
      <w:pPr>
        <w:rPr>
          <w:lang w:val="en-US"/>
        </w:rPr>
      </w:pPr>
    </w:p>
    <w:p w:rsidR="00F54545" w:rsidRDefault="00F54545" w:rsidP="00961556">
      <w:pPr>
        <w:rPr>
          <w:lang w:val="en-US"/>
        </w:rPr>
      </w:pPr>
    </w:p>
    <w:tbl>
      <w:tblPr>
        <w:tblStyle w:val="Tabel-Gitter"/>
        <w:tblW w:w="0" w:type="auto"/>
        <w:tblLook w:val="04A0" w:firstRow="1" w:lastRow="0" w:firstColumn="1" w:lastColumn="0" w:noHBand="0" w:noVBand="1"/>
      </w:tblPr>
      <w:tblGrid>
        <w:gridCol w:w="7054"/>
        <w:gridCol w:w="1462"/>
      </w:tblGrid>
      <w:tr w:rsidR="00F54545" w:rsidTr="00F54545">
        <w:tc>
          <w:tcPr>
            <w:tcW w:w="7054" w:type="dxa"/>
          </w:tcPr>
          <w:p w:rsidR="00F54545" w:rsidRDefault="00F54545" w:rsidP="00F54545">
            <w:pPr>
              <w:rPr>
                <w:lang w:val="en-US"/>
              </w:rPr>
            </w:pPr>
          </w:p>
        </w:tc>
        <w:tc>
          <w:tcPr>
            <w:tcW w:w="1392" w:type="dxa"/>
          </w:tcPr>
          <w:p w:rsidR="00F54545" w:rsidRDefault="00F54545" w:rsidP="00961556">
            <w:pPr>
              <w:rPr>
                <w:lang w:val="en-US"/>
              </w:rPr>
            </w:pPr>
            <w:r>
              <w:rPr>
                <w:lang w:val="en-US"/>
              </w:rPr>
              <w:t xml:space="preserve">Euros / </w:t>
            </w:r>
            <w:r>
              <w:rPr>
                <w:lang w:val="en-US"/>
              </w:rPr>
              <w:t>€</w:t>
            </w:r>
          </w:p>
        </w:tc>
      </w:tr>
      <w:tr w:rsidR="00F54545" w:rsidTr="00F54545">
        <w:tc>
          <w:tcPr>
            <w:tcW w:w="7054" w:type="dxa"/>
          </w:tcPr>
          <w:p w:rsidR="00F54545" w:rsidRDefault="00F54545" w:rsidP="00F54545">
            <w:pPr>
              <w:rPr>
                <w:lang w:val="en-US"/>
              </w:rPr>
            </w:pPr>
            <w:r>
              <w:rPr>
                <w:lang w:val="en-US"/>
              </w:rPr>
              <w:t>We expect EBU REC contribution per year amounting to € 4000 per year.</w:t>
            </w:r>
          </w:p>
          <w:p w:rsidR="00F54545" w:rsidRDefault="00F54545" w:rsidP="00961556">
            <w:pPr>
              <w:rPr>
                <w:lang w:val="en-US"/>
              </w:rPr>
            </w:pPr>
          </w:p>
        </w:tc>
        <w:tc>
          <w:tcPr>
            <w:tcW w:w="1392" w:type="dxa"/>
          </w:tcPr>
          <w:p w:rsidR="00F54545" w:rsidRDefault="00F54545" w:rsidP="00961556">
            <w:pPr>
              <w:rPr>
                <w:lang w:val="en-US"/>
              </w:rPr>
            </w:pPr>
            <w:r>
              <w:rPr>
                <w:lang w:val="en-US"/>
              </w:rPr>
              <w:t>8.000</w:t>
            </w:r>
            <w:r w:rsidR="00637AD2">
              <w:rPr>
                <w:lang w:val="en-US"/>
              </w:rPr>
              <w:t>,00</w:t>
            </w:r>
          </w:p>
        </w:tc>
      </w:tr>
      <w:tr w:rsidR="00F54545" w:rsidTr="00F54545">
        <w:tc>
          <w:tcPr>
            <w:tcW w:w="7054" w:type="dxa"/>
          </w:tcPr>
          <w:p w:rsidR="00F54545" w:rsidRDefault="00F54545" w:rsidP="00F54545">
            <w:pPr>
              <w:rPr>
                <w:lang w:val="en-US"/>
              </w:rPr>
            </w:pPr>
            <w:r>
              <w:rPr>
                <w:lang w:val="en-US"/>
              </w:rPr>
              <w:t>Fun</w:t>
            </w:r>
            <w:r>
              <w:rPr>
                <w:lang w:val="en-US"/>
              </w:rPr>
              <w:t>ding from DAB available so far</w:t>
            </w:r>
          </w:p>
          <w:p w:rsidR="00F54545" w:rsidRDefault="00F54545" w:rsidP="00961556">
            <w:pPr>
              <w:rPr>
                <w:lang w:val="en-US"/>
              </w:rPr>
            </w:pPr>
          </w:p>
        </w:tc>
        <w:tc>
          <w:tcPr>
            <w:tcW w:w="1392" w:type="dxa"/>
          </w:tcPr>
          <w:p w:rsidR="00F54545" w:rsidRDefault="00F54545" w:rsidP="00961556">
            <w:pPr>
              <w:rPr>
                <w:lang w:val="en-US"/>
              </w:rPr>
            </w:pPr>
            <w:r>
              <w:rPr>
                <w:lang w:val="en-US"/>
              </w:rPr>
              <w:t>35.</w:t>
            </w:r>
            <w:r>
              <w:rPr>
                <w:lang w:val="en-US"/>
              </w:rPr>
              <w:t>000</w:t>
            </w:r>
            <w:r w:rsidR="00637AD2">
              <w:rPr>
                <w:lang w:val="en-US"/>
              </w:rPr>
              <w:t>,00</w:t>
            </w:r>
          </w:p>
        </w:tc>
      </w:tr>
      <w:tr w:rsidR="00F54545" w:rsidTr="00F54545">
        <w:tc>
          <w:tcPr>
            <w:tcW w:w="7054" w:type="dxa"/>
          </w:tcPr>
          <w:p w:rsidR="00F54545" w:rsidRDefault="00F54545" w:rsidP="00F54545">
            <w:pPr>
              <w:rPr>
                <w:lang w:val="en-US"/>
              </w:rPr>
            </w:pPr>
            <w:r>
              <w:rPr>
                <w:lang w:val="en-US"/>
              </w:rPr>
              <w:t>External funding</w:t>
            </w:r>
          </w:p>
          <w:p w:rsidR="00F54545" w:rsidRDefault="00F54545" w:rsidP="00961556">
            <w:pPr>
              <w:rPr>
                <w:lang w:val="en-US"/>
              </w:rPr>
            </w:pPr>
          </w:p>
        </w:tc>
        <w:tc>
          <w:tcPr>
            <w:tcW w:w="1392" w:type="dxa"/>
          </w:tcPr>
          <w:p w:rsidR="00F54545" w:rsidRDefault="00F54545" w:rsidP="00961556">
            <w:pPr>
              <w:rPr>
                <w:lang w:val="en-US"/>
              </w:rPr>
            </w:pPr>
            <w:r>
              <w:rPr>
                <w:lang w:val="en-US"/>
              </w:rPr>
              <w:t>5.</w:t>
            </w:r>
            <w:r>
              <w:rPr>
                <w:lang w:val="en-US"/>
              </w:rPr>
              <w:t>000</w:t>
            </w:r>
            <w:r w:rsidR="00637AD2">
              <w:rPr>
                <w:lang w:val="en-US"/>
              </w:rPr>
              <w:t>,00</w:t>
            </w:r>
          </w:p>
        </w:tc>
      </w:tr>
      <w:tr w:rsidR="00F54545" w:rsidTr="00F54545">
        <w:tc>
          <w:tcPr>
            <w:tcW w:w="7054" w:type="dxa"/>
          </w:tcPr>
          <w:p w:rsidR="00F54545" w:rsidRDefault="00F54545" w:rsidP="00F54545">
            <w:pPr>
              <w:rPr>
                <w:lang w:val="en-US"/>
              </w:rPr>
            </w:pPr>
            <w:r>
              <w:rPr>
                <w:lang w:val="en-US"/>
              </w:rPr>
              <w:lastRenderedPageBreak/>
              <w:t>Contribution in kind from involved or</w:t>
            </w:r>
            <w:r>
              <w:rPr>
                <w:lang w:val="en-US"/>
              </w:rPr>
              <w:t>ganizations in Nordic countries</w:t>
            </w:r>
            <w:r>
              <w:rPr>
                <w:lang w:val="en-US"/>
              </w:rPr>
              <w:t xml:space="preserve"> </w:t>
            </w:r>
          </w:p>
          <w:p w:rsidR="00F54545" w:rsidRDefault="00F54545" w:rsidP="00961556">
            <w:pPr>
              <w:rPr>
                <w:lang w:val="en-US"/>
              </w:rPr>
            </w:pPr>
          </w:p>
        </w:tc>
        <w:tc>
          <w:tcPr>
            <w:tcW w:w="1392" w:type="dxa"/>
          </w:tcPr>
          <w:p w:rsidR="00F54545" w:rsidRDefault="00F54545" w:rsidP="00961556">
            <w:pPr>
              <w:rPr>
                <w:lang w:val="en-US"/>
              </w:rPr>
            </w:pPr>
            <w:r>
              <w:rPr>
                <w:lang w:val="en-US"/>
              </w:rPr>
              <w:t>7.</w:t>
            </w:r>
            <w:r>
              <w:rPr>
                <w:lang w:val="en-US"/>
              </w:rPr>
              <w:t>500</w:t>
            </w:r>
            <w:r w:rsidR="00637AD2">
              <w:rPr>
                <w:lang w:val="en-US"/>
              </w:rPr>
              <w:t>,00</w:t>
            </w:r>
          </w:p>
        </w:tc>
      </w:tr>
      <w:tr w:rsidR="00F54545" w:rsidTr="00F54545">
        <w:tc>
          <w:tcPr>
            <w:tcW w:w="7054" w:type="dxa"/>
          </w:tcPr>
          <w:p w:rsidR="00F54545" w:rsidRDefault="00F54545" w:rsidP="00F54545">
            <w:pPr>
              <w:rPr>
                <w:lang w:val="en-US"/>
              </w:rPr>
            </w:pPr>
            <w:r>
              <w:rPr>
                <w:lang w:val="en-US"/>
              </w:rPr>
              <w:t xml:space="preserve">Outside Nordic countries </w:t>
            </w:r>
          </w:p>
          <w:p w:rsidR="00F54545" w:rsidRDefault="00F54545" w:rsidP="00961556">
            <w:pPr>
              <w:rPr>
                <w:lang w:val="en-US"/>
              </w:rPr>
            </w:pPr>
          </w:p>
        </w:tc>
        <w:tc>
          <w:tcPr>
            <w:tcW w:w="1392" w:type="dxa"/>
          </w:tcPr>
          <w:p w:rsidR="00F54545" w:rsidRDefault="00F54545" w:rsidP="00961556">
            <w:pPr>
              <w:rPr>
                <w:lang w:val="en-US"/>
              </w:rPr>
            </w:pPr>
            <w:r>
              <w:rPr>
                <w:lang w:val="en-US"/>
              </w:rPr>
              <w:t>7.500</w:t>
            </w:r>
            <w:r w:rsidR="00637AD2">
              <w:rPr>
                <w:lang w:val="en-US"/>
              </w:rPr>
              <w:t>,00</w:t>
            </w:r>
          </w:p>
        </w:tc>
      </w:tr>
      <w:tr w:rsidR="00637AD2" w:rsidRPr="00637AD2" w:rsidTr="00F54545">
        <w:tc>
          <w:tcPr>
            <w:tcW w:w="7054" w:type="dxa"/>
          </w:tcPr>
          <w:p w:rsidR="00F54545" w:rsidRPr="00637AD2" w:rsidRDefault="00637AD2" w:rsidP="00961556">
            <w:pPr>
              <w:rPr>
                <w:i/>
                <w:color w:val="808080" w:themeColor="background1" w:themeShade="80"/>
                <w:lang w:val="en-US"/>
              </w:rPr>
            </w:pPr>
            <w:r w:rsidRPr="00637AD2">
              <w:rPr>
                <w:i/>
                <w:color w:val="808080" w:themeColor="background1" w:themeShade="80"/>
                <w:lang w:val="en-US"/>
              </w:rPr>
              <w:t>Further funding to be identified by DAB</w:t>
            </w:r>
          </w:p>
        </w:tc>
        <w:tc>
          <w:tcPr>
            <w:tcW w:w="1392" w:type="dxa"/>
          </w:tcPr>
          <w:p w:rsidR="00F54545" w:rsidRPr="00637AD2" w:rsidRDefault="00637AD2" w:rsidP="00961556">
            <w:pPr>
              <w:rPr>
                <w:i/>
                <w:color w:val="808080" w:themeColor="background1" w:themeShade="80"/>
                <w:lang w:val="en-US"/>
              </w:rPr>
            </w:pPr>
            <w:r w:rsidRPr="00637AD2">
              <w:rPr>
                <w:i/>
                <w:color w:val="808080" w:themeColor="background1" w:themeShade="80"/>
                <w:lang w:val="en-US"/>
              </w:rPr>
              <w:t>27.463,78</w:t>
            </w:r>
          </w:p>
        </w:tc>
      </w:tr>
      <w:tr w:rsidR="00637AD2" w:rsidTr="00F54545">
        <w:tc>
          <w:tcPr>
            <w:tcW w:w="7054" w:type="dxa"/>
          </w:tcPr>
          <w:p w:rsidR="00637AD2" w:rsidRDefault="00637AD2" w:rsidP="00961556">
            <w:pPr>
              <w:rPr>
                <w:lang w:val="en-US"/>
              </w:rPr>
            </w:pPr>
          </w:p>
        </w:tc>
        <w:tc>
          <w:tcPr>
            <w:tcW w:w="1392" w:type="dxa"/>
          </w:tcPr>
          <w:p w:rsidR="00637AD2" w:rsidRDefault="00637AD2" w:rsidP="00961556">
            <w:pPr>
              <w:rPr>
                <w:rFonts w:cs="Arial"/>
                <w:color w:val="000000" w:themeColor="text1"/>
                <w:szCs w:val="28"/>
                <w:shd w:val="clear" w:color="auto" w:fill="F8F8F8"/>
              </w:rPr>
            </w:pPr>
          </w:p>
        </w:tc>
      </w:tr>
      <w:tr w:rsidR="00637AD2" w:rsidTr="00F54545">
        <w:tc>
          <w:tcPr>
            <w:tcW w:w="7054" w:type="dxa"/>
          </w:tcPr>
          <w:p w:rsidR="00637AD2" w:rsidRDefault="00637AD2" w:rsidP="00961556">
            <w:pPr>
              <w:rPr>
                <w:lang w:val="en-US"/>
              </w:rPr>
            </w:pPr>
          </w:p>
        </w:tc>
        <w:tc>
          <w:tcPr>
            <w:tcW w:w="1392" w:type="dxa"/>
          </w:tcPr>
          <w:p w:rsidR="00637AD2" w:rsidRPr="00637AD2" w:rsidRDefault="00637AD2" w:rsidP="00961556">
            <w:pPr>
              <w:rPr>
                <w:b/>
                <w:u w:val="double"/>
                <w:lang w:val="en-US"/>
              </w:rPr>
            </w:pPr>
            <w:r w:rsidRPr="00637AD2">
              <w:rPr>
                <w:rFonts w:cs="Arial"/>
                <w:b/>
                <w:color w:val="000000" w:themeColor="text1"/>
                <w:szCs w:val="28"/>
                <w:u w:val="double"/>
                <w:shd w:val="clear" w:color="auto" w:fill="F8F8F8"/>
              </w:rPr>
              <w:t>90.463,78</w:t>
            </w:r>
          </w:p>
        </w:tc>
      </w:tr>
    </w:tbl>
    <w:p w:rsidR="00F54545" w:rsidRPr="00276CEA" w:rsidRDefault="00F54545" w:rsidP="00961556">
      <w:pPr>
        <w:rPr>
          <w:lang w:val="en-US"/>
        </w:rPr>
      </w:pPr>
    </w:p>
    <w:p w:rsidR="00961556" w:rsidRPr="004D462A" w:rsidRDefault="00961556" w:rsidP="00961556"/>
    <w:p w:rsidR="00961556" w:rsidRDefault="00961556" w:rsidP="00961556">
      <w:pPr>
        <w:rPr>
          <w:b/>
        </w:rPr>
      </w:pPr>
      <w:r w:rsidRPr="004D462A">
        <w:rPr>
          <w:b/>
        </w:rPr>
        <w:t>4. Relationship to other EBU projects and activities</w:t>
      </w:r>
    </w:p>
    <w:p w:rsidR="004D202E" w:rsidRPr="004D462A" w:rsidRDefault="004D202E" w:rsidP="00961556">
      <w:pPr>
        <w:rPr>
          <w:b/>
        </w:rPr>
      </w:pPr>
    </w:p>
    <w:p w:rsidR="00961556" w:rsidRPr="004D462A" w:rsidRDefault="00637AD2" w:rsidP="00961556">
      <w:r>
        <w:rPr>
          <w:lang w:val="en-US"/>
        </w:rPr>
        <w:t>The project is part of the EBU</w:t>
      </w:r>
      <w:r w:rsidR="004D202E">
        <w:rPr>
          <w:lang w:val="en-US"/>
        </w:rPr>
        <w:t xml:space="preserve"> strategic plan Objective 1</w:t>
      </w:r>
    </w:p>
    <w:p w:rsidR="00961556" w:rsidRPr="004D462A" w:rsidRDefault="00961556" w:rsidP="00961556"/>
    <w:p w:rsidR="00637AD2" w:rsidRDefault="00637AD2" w:rsidP="00961556">
      <w:pPr>
        <w:rPr>
          <w:b/>
        </w:rPr>
      </w:pPr>
    </w:p>
    <w:p w:rsidR="00961556" w:rsidRPr="004D462A" w:rsidRDefault="00961556" w:rsidP="00961556">
      <w:pPr>
        <w:rPr>
          <w:b/>
        </w:rPr>
      </w:pPr>
      <w:r w:rsidRPr="004D462A">
        <w:rPr>
          <w:b/>
        </w:rPr>
        <w:t>5. What might go wrong?</w:t>
      </w:r>
    </w:p>
    <w:p w:rsidR="00637AD2" w:rsidRDefault="00637AD2" w:rsidP="004D202E">
      <w:pPr>
        <w:rPr>
          <w:lang w:val="en-US"/>
        </w:rPr>
      </w:pPr>
    </w:p>
    <w:p w:rsidR="004D202E" w:rsidRDefault="004D202E" w:rsidP="004D202E">
      <w:pPr>
        <w:rPr>
          <w:lang w:val="en-US"/>
        </w:rPr>
      </w:pPr>
      <w:r>
        <w:rPr>
          <w:lang w:val="en-US"/>
        </w:rPr>
        <w:t>There is a risk that it is difficult to obtain sufficient precise information and that the decentralization of responsibilities and implementation might offer some challenges as regards a specialized overview.</w:t>
      </w:r>
    </w:p>
    <w:p w:rsidR="00961556" w:rsidRPr="004D202E" w:rsidRDefault="00961556" w:rsidP="00961556">
      <w:pPr>
        <w:rPr>
          <w:lang w:val="en-US"/>
        </w:rPr>
      </w:pPr>
    </w:p>
    <w:p w:rsidR="00961556" w:rsidRPr="004D462A" w:rsidRDefault="00961556" w:rsidP="00961556"/>
    <w:p w:rsidR="00961556" w:rsidRDefault="00961556" w:rsidP="00961556">
      <w:pPr>
        <w:rPr>
          <w:b/>
        </w:rPr>
      </w:pPr>
      <w:r w:rsidRPr="004D462A">
        <w:rPr>
          <w:b/>
        </w:rPr>
        <w:t>6. Other relevant information</w:t>
      </w:r>
    </w:p>
    <w:p w:rsidR="00D174A0" w:rsidRDefault="00D174A0" w:rsidP="0055761B">
      <w:pPr>
        <w:rPr>
          <w:b/>
        </w:rPr>
      </w:pPr>
    </w:p>
    <w:p w:rsidR="0055761B" w:rsidRDefault="0055761B" w:rsidP="0055761B">
      <w:pPr>
        <w:rPr>
          <w:lang w:val="en-US"/>
        </w:rPr>
      </w:pPr>
      <w:r>
        <w:rPr>
          <w:lang w:val="en-US"/>
        </w:rPr>
        <w:t>ICEVI will be involved, as parts of the main issue are tightly related to the educational system.</w:t>
      </w:r>
    </w:p>
    <w:p w:rsidR="0055761B" w:rsidRPr="0055761B" w:rsidRDefault="0055761B" w:rsidP="00961556">
      <w:pPr>
        <w:rPr>
          <w:lang w:val="en-US"/>
        </w:rPr>
      </w:pPr>
    </w:p>
    <w:p w:rsidR="00025C7A" w:rsidRDefault="00025C7A">
      <w:bookmarkStart w:id="0" w:name="_GoBack"/>
      <w:bookmarkEnd w:id="0"/>
    </w:p>
    <w:sectPr w:rsidR="00025C7A" w:rsidSect="00071101">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AD2" w:rsidRDefault="00637AD2" w:rsidP="00637AD2">
      <w:r>
        <w:separator/>
      </w:r>
    </w:p>
  </w:endnote>
  <w:endnote w:type="continuationSeparator" w:id="0">
    <w:p w:rsidR="00637AD2" w:rsidRDefault="00637AD2" w:rsidP="0063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484078"/>
      <w:docPartObj>
        <w:docPartGallery w:val="Page Numbers (Bottom of Page)"/>
        <w:docPartUnique/>
      </w:docPartObj>
    </w:sdtPr>
    <w:sdtContent>
      <w:p w:rsidR="00637AD2" w:rsidRDefault="00637AD2">
        <w:pPr>
          <w:pStyle w:val="Sidefod"/>
        </w:pPr>
        <w:r>
          <w:rPr>
            <w:noProof/>
          </w:rPr>
          <mc:AlternateContent>
            <mc:Choice Requires="wpg">
              <w:drawing>
                <wp:anchor distT="0" distB="0" distL="114300" distR="114300" simplePos="0" relativeHeight="251659264" behindDoc="0" locked="0" layoutInCell="1" allowOverlap="1" wp14:editId="61B531F4">
                  <wp:simplePos x="0" y="0"/>
                  <wp:positionH relativeFrom="page">
                    <wp:align>center</wp:align>
                  </wp:positionH>
                  <wp:positionV relativeFrom="bottomMargin">
                    <wp:align>center</wp:align>
                  </wp:positionV>
                  <wp:extent cx="7781925" cy="190500"/>
                  <wp:effectExtent l="9525" t="9525" r="952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AD2" w:rsidRDefault="00637AD2">
                                <w:pPr>
                                  <w:jc w:val="center"/>
                                </w:pPr>
                                <w:r>
                                  <w:fldChar w:fldCharType="begin"/>
                                </w:r>
                                <w:r>
                                  <w:instrText>PAGE    \* MERGEFORMAT</w:instrText>
                                </w:r>
                                <w:r>
                                  <w:fldChar w:fldCharType="separate"/>
                                </w:r>
                                <w:r w:rsidRPr="00637AD2">
                                  <w:rPr>
                                    <w:noProof/>
                                    <w:color w:val="8C8C8C" w:themeColor="background1" w:themeShade="8C"/>
                                    <w:lang w:val="da-DK"/>
                                  </w:rPr>
                                  <w:t>1</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pe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637AD2" w:rsidRDefault="00637AD2">
                          <w:pPr>
                            <w:jc w:val="center"/>
                          </w:pPr>
                          <w:r>
                            <w:fldChar w:fldCharType="begin"/>
                          </w:r>
                          <w:r>
                            <w:instrText>PAGE    \* MERGEFORMAT</w:instrText>
                          </w:r>
                          <w:r>
                            <w:fldChar w:fldCharType="separate"/>
                          </w:r>
                          <w:r w:rsidRPr="00637AD2">
                            <w:rPr>
                              <w:noProof/>
                              <w:color w:val="8C8C8C" w:themeColor="background1" w:themeShade="8C"/>
                              <w:lang w:val="da-DK"/>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AD2" w:rsidRDefault="00637AD2" w:rsidP="00637AD2">
      <w:r>
        <w:separator/>
      </w:r>
    </w:p>
  </w:footnote>
  <w:footnote w:type="continuationSeparator" w:id="0">
    <w:p w:rsidR="00637AD2" w:rsidRDefault="00637AD2" w:rsidP="00637A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1162C"/>
    <w:multiLevelType w:val="hybridMultilevel"/>
    <w:tmpl w:val="73B68D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1E267E7"/>
    <w:multiLevelType w:val="hybridMultilevel"/>
    <w:tmpl w:val="C6727F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42956E2"/>
    <w:multiLevelType w:val="hybridMultilevel"/>
    <w:tmpl w:val="BC349A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E0D05AB"/>
    <w:multiLevelType w:val="hybridMultilevel"/>
    <w:tmpl w:val="43CE88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56"/>
    <w:rsid w:val="00025C7A"/>
    <w:rsid w:val="00071101"/>
    <w:rsid w:val="001B0B17"/>
    <w:rsid w:val="00276CEA"/>
    <w:rsid w:val="002B7AE7"/>
    <w:rsid w:val="004D202E"/>
    <w:rsid w:val="00540F8C"/>
    <w:rsid w:val="0055761B"/>
    <w:rsid w:val="00637AD2"/>
    <w:rsid w:val="00961556"/>
    <w:rsid w:val="00B26675"/>
    <w:rsid w:val="00C478D1"/>
    <w:rsid w:val="00CC1C8C"/>
    <w:rsid w:val="00D14B5D"/>
    <w:rsid w:val="00D174A0"/>
    <w:rsid w:val="00E0187B"/>
    <w:rsid w:val="00F545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56"/>
    <w:pPr>
      <w:spacing w:after="0" w:line="240" w:lineRule="auto"/>
    </w:pPr>
    <w:rPr>
      <w:rFonts w:ascii="Arial" w:eastAsia="Times New Roman" w:hAnsi="Arial" w:cs="Times New Roman"/>
      <w:sz w:val="28"/>
      <w:szCs w:val="20"/>
      <w:lang w:val="en-GB" w:eastAsia="en-GB"/>
    </w:rPr>
  </w:style>
  <w:style w:type="paragraph" w:styleId="Overskrift2">
    <w:name w:val="heading 2"/>
    <w:basedOn w:val="Normal"/>
    <w:next w:val="Normal"/>
    <w:link w:val="Overskrift2Tegn"/>
    <w:qFormat/>
    <w:rsid w:val="00961556"/>
    <w:pPr>
      <w:keepNext/>
      <w:spacing w:after="120"/>
      <w:outlineLvl w:val="1"/>
    </w:pPr>
    <w:rPr>
      <w:b/>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961556"/>
    <w:rPr>
      <w:rFonts w:ascii="Arial" w:eastAsia="Times New Roman" w:hAnsi="Arial" w:cs="Times New Roman"/>
      <w:b/>
      <w:sz w:val="36"/>
      <w:szCs w:val="20"/>
      <w:lang w:val="en-GB" w:eastAsia="en-GB"/>
    </w:rPr>
  </w:style>
  <w:style w:type="paragraph" w:styleId="Listeafsnit">
    <w:name w:val="List Paragraph"/>
    <w:basedOn w:val="Normal"/>
    <w:uiPriority w:val="34"/>
    <w:qFormat/>
    <w:rsid w:val="0055761B"/>
    <w:pPr>
      <w:ind w:left="720"/>
      <w:contextualSpacing/>
    </w:pPr>
  </w:style>
  <w:style w:type="table" w:styleId="Tabel-Gitter">
    <w:name w:val="Table Grid"/>
    <w:basedOn w:val="Tabel-Normal"/>
    <w:uiPriority w:val="59"/>
    <w:rsid w:val="00F54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637AD2"/>
    <w:pPr>
      <w:tabs>
        <w:tab w:val="center" w:pos="4819"/>
        <w:tab w:val="right" w:pos="9638"/>
      </w:tabs>
    </w:pPr>
  </w:style>
  <w:style w:type="character" w:customStyle="1" w:styleId="SidehovedTegn">
    <w:name w:val="Sidehoved Tegn"/>
    <w:basedOn w:val="Standardskrifttypeiafsnit"/>
    <w:link w:val="Sidehoved"/>
    <w:uiPriority w:val="99"/>
    <w:rsid w:val="00637AD2"/>
    <w:rPr>
      <w:rFonts w:ascii="Arial" w:eastAsia="Times New Roman" w:hAnsi="Arial" w:cs="Times New Roman"/>
      <w:sz w:val="28"/>
      <w:szCs w:val="20"/>
      <w:lang w:val="en-GB" w:eastAsia="en-GB"/>
    </w:rPr>
  </w:style>
  <w:style w:type="paragraph" w:styleId="Sidefod">
    <w:name w:val="footer"/>
    <w:basedOn w:val="Normal"/>
    <w:link w:val="SidefodTegn"/>
    <w:uiPriority w:val="99"/>
    <w:unhideWhenUsed/>
    <w:rsid w:val="00637AD2"/>
    <w:pPr>
      <w:tabs>
        <w:tab w:val="center" w:pos="4819"/>
        <w:tab w:val="right" w:pos="9638"/>
      </w:tabs>
    </w:pPr>
  </w:style>
  <w:style w:type="character" w:customStyle="1" w:styleId="SidefodTegn">
    <w:name w:val="Sidefod Tegn"/>
    <w:basedOn w:val="Standardskrifttypeiafsnit"/>
    <w:link w:val="Sidefod"/>
    <w:uiPriority w:val="99"/>
    <w:rsid w:val="00637AD2"/>
    <w:rPr>
      <w:rFonts w:ascii="Arial" w:eastAsia="Times New Roman" w:hAnsi="Arial" w:cs="Times New Roman"/>
      <w:sz w:val="28"/>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56"/>
    <w:pPr>
      <w:spacing w:after="0" w:line="240" w:lineRule="auto"/>
    </w:pPr>
    <w:rPr>
      <w:rFonts w:ascii="Arial" w:eastAsia="Times New Roman" w:hAnsi="Arial" w:cs="Times New Roman"/>
      <w:sz w:val="28"/>
      <w:szCs w:val="20"/>
      <w:lang w:val="en-GB" w:eastAsia="en-GB"/>
    </w:rPr>
  </w:style>
  <w:style w:type="paragraph" w:styleId="Overskrift2">
    <w:name w:val="heading 2"/>
    <w:basedOn w:val="Normal"/>
    <w:next w:val="Normal"/>
    <w:link w:val="Overskrift2Tegn"/>
    <w:qFormat/>
    <w:rsid w:val="00961556"/>
    <w:pPr>
      <w:keepNext/>
      <w:spacing w:after="120"/>
      <w:outlineLvl w:val="1"/>
    </w:pPr>
    <w:rPr>
      <w:b/>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961556"/>
    <w:rPr>
      <w:rFonts w:ascii="Arial" w:eastAsia="Times New Roman" w:hAnsi="Arial" w:cs="Times New Roman"/>
      <w:b/>
      <w:sz w:val="36"/>
      <w:szCs w:val="20"/>
      <w:lang w:val="en-GB" w:eastAsia="en-GB"/>
    </w:rPr>
  </w:style>
  <w:style w:type="paragraph" w:styleId="Listeafsnit">
    <w:name w:val="List Paragraph"/>
    <w:basedOn w:val="Normal"/>
    <w:uiPriority w:val="34"/>
    <w:qFormat/>
    <w:rsid w:val="0055761B"/>
    <w:pPr>
      <w:ind w:left="720"/>
      <w:contextualSpacing/>
    </w:pPr>
  </w:style>
  <w:style w:type="table" w:styleId="Tabel-Gitter">
    <w:name w:val="Table Grid"/>
    <w:basedOn w:val="Tabel-Normal"/>
    <w:uiPriority w:val="59"/>
    <w:rsid w:val="00F54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637AD2"/>
    <w:pPr>
      <w:tabs>
        <w:tab w:val="center" w:pos="4819"/>
        <w:tab w:val="right" w:pos="9638"/>
      </w:tabs>
    </w:pPr>
  </w:style>
  <w:style w:type="character" w:customStyle="1" w:styleId="SidehovedTegn">
    <w:name w:val="Sidehoved Tegn"/>
    <w:basedOn w:val="Standardskrifttypeiafsnit"/>
    <w:link w:val="Sidehoved"/>
    <w:uiPriority w:val="99"/>
    <w:rsid w:val="00637AD2"/>
    <w:rPr>
      <w:rFonts w:ascii="Arial" w:eastAsia="Times New Roman" w:hAnsi="Arial" w:cs="Times New Roman"/>
      <w:sz w:val="28"/>
      <w:szCs w:val="20"/>
      <w:lang w:val="en-GB" w:eastAsia="en-GB"/>
    </w:rPr>
  </w:style>
  <w:style w:type="paragraph" w:styleId="Sidefod">
    <w:name w:val="footer"/>
    <w:basedOn w:val="Normal"/>
    <w:link w:val="SidefodTegn"/>
    <w:uiPriority w:val="99"/>
    <w:unhideWhenUsed/>
    <w:rsid w:val="00637AD2"/>
    <w:pPr>
      <w:tabs>
        <w:tab w:val="center" w:pos="4819"/>
        <w:tab w:val="right" w:pos="9638"/>
      </w:tabs>
    </w:pPr>
  </w:style>
  <w:style w:type="character" w:customStyle="1" w:styleId="SidefodTegn">
    <w:name w:val="Sidefod Tegn"/>
    <w:basedOn w:val="Standardskrifttypeiafsnit"/>
    <w:link w:val="Sidefod"/>
    <w:uiPriority w:val="99"/>
    <w:rsid w:val="00637AD2"/>
    <w:rPr>
      <w:rFonts w:ascii="Arial" w:eastAsia="Times New Roman" w:hAnsi="Arial" w:cs="Times New Roman"/>
      <w:sz w:val="28"/>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1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674</Words>
  <Characters>4118</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Windows-bruger</dc:creator>
  <cp:lastModifiedBy>Windows-bruger</cp:lastModifiedBy>
  <cp:revision>2</cp:revision>
  <dcterms:created xsi:type="dcterms:W3CDTF">2016-02-26T11:30:00Z</dcterms:created>
  <dcterms:modified xsi:type="dcterms:W3CDTF">2016-02-26T11:30:00Z</dcterms:modified>
</cp:coreProperties>
</file>