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017E" w14:textId="6628BE41" w:rsidR="006549EF" w:rsidRPr="006549EF" w:rsidRDefault="00011000" w:rsidP="0006320D">
      <w:pPr>
        <w:jc w:val="center"/>
        <w:rPr>
          <w:lang w:eastAsia="fr-FR"/>
        </w:rPr>
      </w:pPr>
      <w:r>
        <w:rPr>
          <w:noProof/>
        </w:rPr>
        <w:drawing>
          <wp:inline distT="0" distB="0" distL="0" distR="0" wp14:anchorId="5DCB7FDF" wp14:editId="62F5788F">
            <wp:extent cx="2517775" cy="920750"/>
            <wp:effectExtent l="0" t="0" r="0" b="0"/>
            <wp:docPr id="1946930848" name="Image 1" descr="EBU logo with strapline the voice of blind and partially sighted people in Euro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30848" name="Image 1" descr="EBU logo with strapline the voice of blind and partially sighted people in Europ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920750"/>
                    </a:xfrm>
                    <a:prstGeom prst="rect">
                      <a:avLst/>
                    </a:prstGeom>
                    <a:noFill/>
                  </pic:spPr>
                </pic:pic>
              </a:graphicData>
            </a:graphic>
          </wp:inline>
        </w:drawing>
      </w:r>
    </w:p>
    <w:p w14:paraId="198333BD" w14:textId="77777777" w:rsidR="006549EF" w:rsidRPr="006549EF" w:rsidRDefault="006549EF" w:rsidP="00E524C8">
      <w:pPr>
        <w:rPr>
          <w:lang w:val="en-GB" w:eastAsia="fr-FR"/>
        </w:rPr>
      </w:pPr>
    </w:p>
    <w:p w14:paraId="5964A1F7" w14:textId="77D93E5F" w:rsidR="006549EF" w:rsidRPr="008668BD" w:rsidRDefault="006549EF" w:rsidP="008668BD">
      <w:pPr>
        <w:pStyle w:val="Titre"/>
      </w:pPr>
      <w:r w:rsidRPr="008668BD">
        <w:t>EBU Statement on</w:t>
      </w:r>
    </w:p>
    <w:p w14:paraId="04A66570" w14:textId="1DD5B855" w:rsidR="006549EF" w:rsidRPr="008668BD" w:rsidRDefault="006549EF" w:rsidP="008668BD">
      <w:pPr>
        <w:pStyle w:val="Titre"/>
      </w:pPr>
      <w:r w:rsidRPr="008668BD">
        <w:t>the European Elections 2024</w:t>
      </w:r>
    </w:p>
    <w:p w14:paraId="5A9401B1" w14:textId="06266224" w:rsidR="00C97D14" w:rsidRPr="00C97D14" w:rsidRDefault="009048DE" w:rsidP="00C97D14">
      <w:pPr>
        <w:pStyle w:val="Sous-titre"/>
        <w:spacing w:after="0"/>
        <w:jc w:val="center"/>
        <w:rPr>
          <w:rFonts w:eastAsia="Times New Roman"/>
          <w:lang w:val="en-GB" w:eastAsia="fr-FR"/>
        </w:rPr>
      </w:pPr>
      <w:r w:rsidRPr="00CC4F20">
        <w:rPr>
          <w:rFonts w:eastAsia="Times New Roman"/>
          <w:color w:val="2F5496" w:themeColor="accent1" w:themeShade="BF"/>
          <w:lang w:val="en-GB" w:eastAsia="fr-FR"/>
        </w:rPr>
        <w:t>S</w:t>
      </w:r>
      <w:r w:rsidR="00C758B6" w:rsidRPr="00CC4F20">
        <w:rPr>
          <w:rFonts w:eastAsia="Times New Roman"/>
          <w:color w:val="2F5496" w:themeColor="accent1" w:themeShade="BF"/>
          <w:lang w:val="en-GB" w:eastAsia="fr-FR"/>
        </w:rPr>
        <w:t>tand</w:t>
      </w:r>
      <w:r w:rsidR="0016716A" w:rsidRPr="00CC4F20">
        <w:rPr>
          <w:rFonts w:eastAsia="Times New Roman"/>
          <w:color w:val="2F5496" w:themeColor="accent1" w:themeShade="BF"/>
          <w:lang w:val="en-GB" w:eastAsia="fr-FR"/>
        </w:rPr>
        <w:t xml:space="preserve"> </w:t>
      </w:r>
      <w:r w:rsidR="001D740C" w:rsidRPr="00CC4F20">
        <w:rPr>
          <w:rFonts w:eastAsia="Times New Roman"/>
          <w:color w:val="2F5496" w:themeColor="accent1" w:themeShade="BF"/>
          <w:lang w:val="en-GB" w:eastAsia="fr-FR"/>
        </w:rPr>
        <w:t>for a</w:t>
      </w:r>
      <w:r w:rsidR="00C97D14" w:rsidRPr="00CC4F20">
        <w:rPr>
          <w:rFonts w:eastAsia="Times New Roman"/>
          <w:color w:val="2F5496" w:themeColor="accent1" w:themeShade="BF"/>
          <w:lang w:val="en-GB" w:eastAsia="fr-FR"/>
        </w:rPr>
        <w:t xml:space="preserve"> Union</w:t>
      </w:r>
      <w:r w:rsidR="000637B3" w:rsidRPr="00CC4F20">
        <w:rPr>
          <w:rFonts w:eastAsia="Times New Roman"/>
          <w:color w:val="2F5496" w:themeColor="accent1" w:themeShade="BF"/>
          <w:lang w:val="en-GB" w:eastAsia="fr-FR"/>
        </w:rPr>
        <w:t xml:space="preserve"> more</w:t>
      </w:r>
      <w:r w:rsidR="001D740C" w:rsidRPr="00CC4F20">
        <w:rPr>
          <w:rFonts w:eastAsia="Times New Roman"/>
          <w:color w:val="2F5496" w:themeColor="accent1" w:themeShade="BF"/>
          <w:lang w:val="en-GB" w:eastAsia="fr-FR"/>
        </w:rPr>
        <w:t xml:space="preserve"> inclusive </w:t>
      </w:r>
      <w:r w:rsidR="00C97D14" w:rsidRPr="00CC4F20">
        <w:rPr>
          <w:rFonts w:eastAsia="Times New Roman"/>
          <w:color w:val="2F5496" w:themeColor="accent1" w:themeShade="BF"/>
          <w:lang w:val="en-GB" w:eastAsia="fr-FR"/>
        </w:rPr>
        <w:t>of visually impaired</w:t>
      </w:r>
      <w:r w:rsidR="004E13F1" w:rsidRPr="00CC4F20">
        <w:rPr>
          <w:rFonts w:eastAsia="Times New Roman"/>
          <w:color w:val="2F5496" w:themeColor="accent1" w:themeShade="BF"/>
          <w:lang w:val="en-GB" w:eastAsia="fr-FR"/>
        </w:rPr>
        <w:t xml:space="preserve"> </w:t>
      </w:r>
      <w:proofErr w:type="gramStart"/>
      <w:r w:rsidR="004E13F1" w:rsidRPr="00CC4F20">
        <w:rPr>
          <w:rFonts w:eastAsia="Times New Roman"/>
          <w:color w:val="2F5496" w:themeColor="accent1" w:themeShade="BF"/>
          <w:lang w:val="en-GB" w:eastAsia="fr-FR"/>
        </w:rPr>
        <w:t>people</w:t>
      </w:r>
      <w:proofErr w:type="gramEnd"/>
    </w:p>
    <w:p w14:paraId="301F6DA7" w14:textId="67F6141C" w:rsidR="006549EF" w:rsidRPr="006549EF" w:rsidRDefault="002B7ACE" w:rsidP="0087783B">
      <w:pPr>
        <w:jc w:val="center"/>
        <w:rPr>
          <w:lang w:val="en-GB" w:eastAsia="fr-FR"/>
        </w:rPr>
      </w:pPr>
      <w:r>
        <w:rPr>
          <w:lang w:val="en-GB" w:eastAsia="fr-FR"/>
        </w:rPr>
        <w:t>September</w:t>
      </w:r>
      <w:r w:rsidR="006549EF" w:rsidRPr="006549EF">
        <w:rPr>
          <w:lang w:val="en-GB" w:eastAsia="fr-FR"/>
        </w:rPr>
        <w:t xml:space="preserve"> 20</w:t>
      </w:r>
      <w:r w:rsidR="006549EF">
        <w:rPr>
          <w:lang w:val="en-GB" w:eastAsia="fr-FR"/>
        </w:rPr>
        <w:t>23</w:t>
      </w:r>
    </w:p>
    <w:p w14:paraId="40BE7E01" w14:textId="77777777" w:rsidR="006549EF" w:rsidRPr="000B1B4C" w:rsidRDefault="006549EF" w:rsidP="0087783B">
      <w:pPr>
        <w:pStyle w:val="Titre2"/>
      </w:pPr>
      <w:r w:rsidRPr="000B1B4C">
        <w:t>Introduction</w:t>
      </w:r>
    </w:p>
    <w:p w14:paraId="66F4BA23" w14:textId="1F3FCDED" w:rsidR="006549EF" w:rsidRPr="006549EF" w:rsidRDefault="006549EF" w:rsidP="0087783B">
      <w:pPr>
        <w:rPr>
          <w:lang w:val="en-GB"/>
        </w:rPr>
      </w:pPr>
      <w:r w:rsidRPr="006549EF">
        <w:rPr>
          <w:lang w:val="en-GB"/>
        </w:rPr>
        <w:t>The European Blind Union (EBU) – Interest Representative Register number 42378755934-87 – is a non-governmental, non-profit making European organisation founded in 1984. It is one of the six regional bodies of the World Blind Union, and it promotes the interests of blind and partially sighted people in Europe. It currently operates within a network of 41 national members including organisations from 2</w:t>
      </w:r>
      <w:r>
        <w:rPr>
          <w:lang w:val="en-GB"/>
        </w:rPr>
        <w:t>5</w:t>
      </w:r>
      <w:r w:rsidRPr="006549EF">
        <w:rPr>
          <w:lang w:val="en-GB"/>
        </w:rPr>
        <w:t xml:space="preserve"> European Union member states, candidate countries and other countries in geographical Europe.</w:t>
      </w:r>
    </w:p>
    <w:p w14:paraId="34BA2D26" w14:textId="67EFC3D1" w:rsidR="00A52B76" w:rsidRDefault="006549EF" w:rsidP="0087783B">
      <w:pPr>
        <w:rPr>
          <w:lang w:val="en-GB"/>
        </w:rPr>
      </w:pPr>
      <w:r w:rsidRPr="006549EF">
        <w:rPr>
          <w:lang w:val="en-GB"/>
        </w:rPr>
        <w:t xml:space="preserve">With this Statement, we </w:t>
      </w:r>
      <w:r w:rsidRPr="009605C7">
        <w:rPr>
          <w:rStyle w:val="Accentuation"/>
          <w:lang w:val="en-GB"/>
        </w:rPr>
        <w:t xml:space="preserve">call on </w:t>
      </w:r>
      <w:r w:rsidR="00567BF6" w:rsidRPr="009605C7">
        <w:rPr>
          <w:rStyle w:val="Accentuation"/>
          <w:lang w:val="en-GB"/>
        </w:rPr>
        <w:t xml:space="preserve">candidates and </w:t>
      </w:r>
      <w:r w:rsidR="00421D89">
        <w:rPr>
          <w:rStyle w:val="Accentuation"/>
          <w:lang w:val="en-GB"/>
        </w:rPr>
        <w:t xml:space="preserve">political </w:t>
      </w:r>
      <w:r w:rsidR="00D3650B" w:rsidRPr="009605C7">
        <w:rPr>
          <w:rStyle w:val="Accentuation"/>
          <w:lang w:val="en-GB"/>
        </w:rPr>
        <w:t>parties from all countries</w:t>
      </w:r>
      <w:r w:rsidRPr="006549EF">
        <w:rPr>
          <w:lang w:val="en-GB"/>
        </w:rPr>
        <w:t xml:space="preserve"> to pay attention</w:t>
      </w:r>
      <w:r w:rsidR="003E1CDF">
        <w:rPr>
          <w:lang w:val="en-GB"/>
        </w:rPr>
        <w:t>,</w:t>
      </w:r>
      <w:r w:rsidR="003E1CDF" w:rsidRPr="006549EF">
        <w:rPr>
          <w:lang w:val="en-GB"/>
        </w:rPr>
        <w:t xml:space="preserve"> in the campaign for the European elections of 20</w:t>
      </w:r>
      <w:r w:rsidR="003E1CDF">
        <w:rPr>
          <w:lang w:val="en-GB"/>
        </w:rPr>
        <w:t>24</w:t>
      </w:r>
      <w:r w:rsidR="003E1CDF" w:rsidRPr="006549EF">
        <w:rPr>
          <w:lang w:val="en-GB"/>
        </w:rPr>
        <w:t xml:space="preserve"> and</w:t>
      </w:r>
      <w:r w:rsidR="003E1CDF">
        <w:rPr>
          <w:lang w:val="en-GB"/>
        </w:rPr>
        <w:t>, if elected,</w:t>
      </w:r>
      <w:r w:rsidR="003E1CDF" w:rsidRPr="006549EF">
        <w:rPr>
          <w:lang w:val="en-GB"/>
        </w:rPr>
        <w:t xml:space="preserve"> during the following five years</w:t>
      </w:r>
      <w:r w:rsidR="00183E7B">
        <w:rPr>
          <w:lang w:val="en-GB"/>
        </w:rPr>
        <w:t>,</w:t>
      </w:r>
      <w:r w:rsidR="003E1CDF" w:rsidRPr="000A5455">
        <w:rPr>
          <w:lang w:val="en-GB"/>
        </w:rPr>
        <w:t xml:space="preserve"> </w:t>
      </w:r>
      <w:r w:rsidR="00183E7B" w:rsidRPr="006549EF">
        <w:rPr>
          <w:lang w:val="en-GB"/>
        </w:rPr>
        <w:t xml:space="preserve">to the </w:t>
      </w:r>
      <w:r w:rsidR="00183E7B">
        <w:rPr>
          <w:lang w:val="en-GB"/>
        </w:rPr>
        <w:t>expectations</w:t>
      </w:r>
      <w:r w:rsidR="00183E7B" w:rsidRPr="006549EF">
        <w:rPr>
          <w:lang w:val="en-GB"/>
        </w:rPr>
        <w:t xml:space="preserve"> of blind and partially sighted persons in Europe</w:t>
      </w:r>
      <w:r w:rsidR="00183E7B">
        <w:rPr>
          <w:lang w:val="en-GB"/>
        </w:rPr>
        <w:t xml:space="preserve">, </w:t>
      </w:r>
      <w:r w:rsidR="003E1CDF" w:rsidRPr="000A5455">
        <w:rPr>
          <w:lang w:val="en-GB"/>
        </w:rPr>
        <w:t xml:space="preserve">in line with the </w:t>
      </w:r>
      <w:r w:rsidR="003E1CDF" w:rsidRPr="006A66C5">
        <w:rPr>
          <w:lang w:val="en-GB"/>
        </w:rPr>
        <w:t>UN Convention of the Rights of Persons with Disabilities</w:t>
      </w:r>
      <w:r w:rsidR="006C7981">
        <w:rPr>
          <w:lang w:val="en-GB"/>
        </w:rPr>
        <w:t>.</w:t>
      </w:r>
    </w:p>
    <w:p w14:paraId="49240062" w14:textId="07D76CCA" w:rsidR="000841E6" w:rsidRDefault="008738F9" w:rsidP="0087783B">
      <w:pPr>
        <w:rPr>
          <w:lang w:val="en-GB"/>
        </w:rPr>
      </w:pPr>
      <w:r w:rsidRPr="009077C5">
        <w:rPr>
          <w:lang w:val="en-GB"/>
        </w:rPr>
        <w:t>In complementarity with</w:t>
      </w:r>
      <w:r>
        <w:rPr>
          <w:lang w:val="en-GB"/>
        </w:rPr>
        <w:t xml:space="preserve"> the</w:t>
      </w:r>
      <w:r w:rsidR="00C903AC">
        <w:rPr>
          <w:lang w:val="en-GB"/>
        </w:rPr>
        <w:t xml:space="preserve"> </w:t>
      </w:r>
      <w:hyperlink r:id="rId9" w:history="1">
        <w:r w:rsidR="00C903AC" w:rsidRPr="00E84B8D">
          <w:rPr>
            <w:rStyle w:val="Lienhypertexte"/>
            <w:lang w:val="en-GB"/>
          </w:rPr>
          <w:t>European Disability Forum</w:t>
        </w:r>
        <w:r w:rsidR="00234767" w:rsidRPr="00E84B8D">
          <w:rPr>
            <w:rStyle w:val="Lienhypertexte"/>
            <w:lang w:val="en-GB"/>
          </w:rPr>
          <w:t>’s Manifesto</w:t>
        </w:r>
      </w:hyperlink>
      <w:r w:rsidR="00C903AC">
        <w:rPr>
          <w:lang w:val="en-GB"/>
        </w:rPr>
        <w:t>, w</w:t>
      </w:r>
      <w:r w:rsidR="000841E6">
        <w:rPr>
          <w:lang w:val="en-GB"/>
        </w:rPr>
        <w:t>e here highlight</w:t>
      </w:r>
      <w:r w:rsidR="003E3329">
        <w:rPr>
          <w:lang w:val="en-GB"/>
        </w:rPr>
        <w:t xml:space="preserve"> our</w:t>
      </w:r>
      <w:r w:rsidR="000841E6">
        <w:rPr>
          <w:lang w:val="en-GB"/>
        </w:rPr>
        <w:t xml:space="preserve"> </w:t>
      </w:r>
      <w:r w:rsidR="00B32446" w:rsidRPr="00BE5D8D">
        <w:rPr>
          <w:rStyle w:val="Accentuation"/>
          <w:lang w:val="en-GB"/>
        </w:rPr>
        <w:t>ten</w:t>
      </w:r>
      <w:r w:rsidR="000841E6" w:rsidRPr="00BE5D8D">
        <w:rPr>
          <w:rStyle w:val="Accentuation"/>
          <w:lang w:val="en-GB"/>
        </w:rPr>
        <w:t xml:space="preserve"> key issues</w:t>
      </w:r>
      <w:r w:rsidR="009B0566">
        <w:rPr>
          <w:lang w:val="en-GB"/>
        </w:rPr>
        <w:t>, stressing</w:t>
      </w:r>
      <w:r w:rsidR="00C43BB9">
        <w:rPr>
          <w:lang w:val="en-GB"/>
        </w:rPr>
        <w:t xml:space="preserve"> the growing importance of including people with a visual impairment in </w:t>
      </w:r>
      <w:r w:rsidR="00421D89">
        <w:rPr>
          <w:lang w:val="en-GB"/>
        </w:rPr>
        <w:t xml:space="preserve">the </w:t>
      </w:r>
      <w:r w:rsidR="00132E7B">
        <w:rPr>
          <w:lang w:val="en-GB"/>
        </w:rPr>
        <w:t xml:space="preserve">context of </w:t>
      </w:r>
      <w:r w:rsidR="000410A9">
        <w:rPr>
          <w:lang w:val="en-GB"/>
        </w:rPr>
        <w:t xml:space="preserve">the Union’s </w:t>
      </w:r>
      <w:r w:rsidR="00132E7B">
        <w:rPr>
          <w:lang w:val="en-GB"/>
        </w:rPr>
        <w:t>aging</w:t>
      </w:r>
      <w:r w:rsidR="00BE5D8D">
        <w:rPr>
          <w:lang w:val="en-GB"/>
        </w:rPr>
        <w:t xml:space="preserve"> </w:t>
      </w:r>
      <w:r w:rsidR="00421D89">
        <w:rPr>
          <w:lang w:val="en-GB"/>
        </w:rPr>
        <w:t>population.</w:t>
      </w:r>
    </w:p>
    <w:p w14:paraId="4DAB49F8" w14:textId="77777777" w:rsidR="006549EF" w:rsidRPr="00F85746" w:rsidRDefault="006549EF" w:rsidP="0087783B">
      <w:pPr>
        <w:pStyle w:val="Titre1"/>
      </w:pPr>
      <w:r w:rsidRPr="00F85746">
        <w:t>Political participation</w:t>
      </w:r>
    </w:p>
    <w:p w14:paraId="3F4198D1" w14:textId="77777777" w:rsidR="006549EF" w:rsidRPr="006549EF" w:rsidRDefault="006549EF" w:rsidP="0087783B">
      <w:pPr>
        <w:rPr>
          <w:lang w:val="en-GB"/>
        </w:rPr>
      </w:pPr>
      <w:r w:rsidRPr="006549EF">
        <w:rPr>
          <w:lang w:val="en-GB"/>
        </w:rPr>
        <w:t xml:space="preserve">European elections should set a standard on </w:t>
      </w:r>
      <w:r w:rsidRPr="009605C7">
        <w:rPr>
          <w:rStyle w:val="Accentuation"/>
          <w:lang w:val="en-GB"/>
        </w:rPr>
        <w:t>accessible voting</w:t>
      </w:r>
      <w:r w:rsidRPr="006549EF">
        <w:rPr>
          <w:lang w:val="en-GB"/>
        </w:rPr>
        <w:t xml:space="preserve">, </w:t>
      </w:r>
      <w:proofErr w:type="gramStart"/>
      <w:r w:rsidRPr="006549EF">
        <w:rPr>
          <w:lang w:val="en-GB"/>
        </w:rPr>
        <w:t>i.e.</w:t>
      </w:r>
      <w:proofErr w:type="gramEnd"/>
      <w:r w:rsidRPr="006549EF">
        <w:rPr>
          <w:lang w:val="en-GB"/>
        </w:rPr>
        <w:t xml:space="preserve"> accessibility of the vote itself (voting procedures), of electoral information (election campaign facilities and materials, political debates, political party programmes and websites) and of post-election procedures (e.g. complaint mechanisms), as well as </w:t>
      </w:r>
      <w:r w:rsidRPr="009605C7">
        <w:rPr>
          <w:rStyle w:val="Accentuation"/>
          <w:lang w:val="en-GB"/>
        </w:rPr>
        <w:t>equality in the right to stand</w:t>
      </w:r>
      <w:r w:rsidRPr="006549EF">
        <w:rPr>
          <w:lang w:val="en-GB"/>
        </w:rPr>
        <w:t xml:space="preserve"> as a candidate. </w:t>
      </w:r>
    </w:p>
    <w:p w14:paraId="5A905494" w14:textId="1346EED0" w:rsidR="00CB2902" w:rsidRPr="0091753D" w:rsidRDefault="006549EF" w:rsidP="0087783B">
      <w:pPr>
        <w:rPr>
          <w:lang w:val="en-GB"/>
        </w:rPr>
      </w:pPr>
      <w:r w:rsidRPr="006549EF">
        <w:rPr>
          <w:lang w:val="en-GB"/>
        </w:rPr>
        <w:lastRenderedPageBreak/>
        <w:t xml:space="preserve">We </w:t>
      </w:r>
      <w:r w:rsidR="007E28D0">
        <w:rPr>
          <w:lang w:val="en-GB"/>
        </w:rPr>
        <w:t xml:space="preserve">welcomed the adoption by the European Parliament, in </w:t>
      </w:r>
      <w:r w:rsidR="00D56D1D">
        <w:rPr>
          <w:lang w:val="en-GB"/>
        </w:rPr>
        <w:t xml:space="preserve">May </w:t>
      </w:r>
      <w:r w:rsidR="00F63A51">
        <w:rPr>
          <w:lang w:val="en-GB"/>
        </w:rPr>
        <w:t>2022</w:t>
      </w:r>
      <w:r w:rsidR="007E28D0">
        <w:rPr>
          <w:lang w:val="en-GB"/>
        </w:rPr>
        <w:t xml:space="preserve">, of </w:t>
      </w:r>
      <w:r w:rsidR="00393958">
        <w:rPr>
          <w:lang w:val="en-GB"/>
        </w:rPr>
        <w:t xml:space="preserve">an own-initiative resolution for the </w:t>
      </w:r>
      <w:r w:rsidR="00393958" w:rsidRPr="005B4E67">
        <w:rPr>
          <w:rStyle w:val="Accentuation"/>
          <w:lang w:val="en-GB"/>
        </w:rPr>
        <w:t>reform of the EU electoral law</w:t>
      </w:r>
      <w:r w:rsidR="00393958">
        <w:rPr>
          <w:lang w:val="en-GB"/>
        </w:rPr>
        <w:t xml:space="preserve">, </w:t>
      </w:r>
      <w:r w:rsidR="00840715">
        <w:rPr>
          <w:lang w:val="en-GB"/>
        </w:rPr>
        <w:t>which, i</w:t>
      </w:r>
      <w:r w:rsidR="00F904C1">
        <w:rPr>
          <w:lang w:val="en-GB"/>
        </w:rPr>
        <w:t xml:space="preserve">mportantly, </w:t>
      </w:r>
      <w:r w:rsidR="00840715" w:rsidRPr="00202196">
        <w:rPr>
          <w:lang w:val="en-GB"/>
        </w:rPr>
        <w:t>includes</w:t>
      </w:r>
      <w:r w:rsidR="00F904C1" w:rsidRPr="00202196">
        <w:rPr>
          <w:lang w:val="en-GB"/>
        </w:rPr>
        <w:t xml:space="preserve"> </w:t>
      </w:r>
      <w:r w:rsidR="00840715" w:rsidRPr="00840715">
        <w:rPr>
          <w:lang w:val="en-GB"/>
        </w:rPr>
        <w:t xml:space="preserve">a new article </w:t>
      </w:r>
      <w:r w:rsidR="00037D1E">
        <w:rPr>
          <w:lang w:val="en-GB"/>
        </w:rPr>
        <w:t>requir</w:t>
      </w:r>
      <w:r w:rsidR="00840715" w:rsidRPr="00840715">
        <w:rPr>
          <w:lang w:val="en-GB"/>
        </w:rPr>
        <w:t xml:space="preserve">ing appropriate measures to </w:t>
      </w:r>
      <w:r w:rsidR="006E1FC6">
        <w:rPr>
          <w:lang w:val="en-GB"/>
        </w:rPr>
        <w:t xml:space="preserve">guarantee the right </w:t>
      </w:r>
      <w:r w:rsidR="00202196">
        <w:rPr>
          <w:lang w:val="en-GB"/>
        </w:rPr>
        <w:t xml:space="preserve">for people with disabilities </w:t>
      </w:r>
      <w:r w:rsidR="006E1FC6">
        <w:rPr>
          <w:lang w:val="en-GB"/>
        </w:rPr>
        <w:t xml:space="preserve">to </w:t>
      </w:r>
      <w:r w:rsidR="00840715" w:rsidRPr="00840715">
        <w:rPr>
          <w:lang w:val="en-GB"/>
        </w:rPr>
        <w:t>vote independently and in secret</w:t>
      </w:r>
      <w:r w:rsidR="00D441E8">
        <w:rPr>
          <w:lang w:val="en-GB"/>
        </w:rPr>
        <w:t xml:space="preserve">, the </w:t>
      </w:r>
      <w:r w:rsidR="00840715" w:rsidRPr="00840715">
        <w:rPr>
          <w:lang w:val="en-GB"/>
        </w:rPr>
        <w:t>free choice of assistance</w:t>
      </w:r>
      <w:r w:rsidR="00D441E8">
        <w:rPr>
          <w:lang w:val="en-GB"/>
        </w:rPr>
        <w:t xml:space="preserve">, and the </w:t>
      </w:r>
      <w:r w:rsidR="00840715" w:rsidRPr="00840715">
        <w:rPr>
          <w:lang w:val="en-GB"/>
        </w:rPr>
        <w:t xml:space="preserve">accessibility of postal voting </w:t>
      </w:r>
      <w:r w:rsidR="00D441E8">
        <w:rPr>
          <w:lang w:val="en-GB"/>
        </w:rPr>
        <w:t>and</w:t>
      </w:r>
      <w:r w:rsidR="00840715" w:rsidRPr="00840715">
        <w:rPr>
          <w:lang w:val="en-GB"/>
        </w:rPr>
        <w:t xml:space="preserve"> political campaigns</w:t>
      </w:r>
      <w:r w:rsidR="00F43095">
        <w:rPr>
          <w:lang w:val="en-GB"/>
        </w:rPr>
        <w:t xml:space="preserve">. </w:t>
      </w:r>
      <w:r w:rsidR="006008B7" w:rsidRPr="00623023">
        <w:rPr>
          <w:lang w:val="en-GB"/>
        </w:rPr>
        <w:t xml:space="preserve">We </w:t>
      </w:r>
      <w:r w:rsidR="00D87219" w:rsidRPr="00623023">
        <w:rPr>
          <w:lang w:val="en-GB"/>
        </w:rPr>
        <w:t>expect</w:t>
      </w:r>
      <w:r w:rsidR="006008B7">
        <w:rPr>
          <w:lang w:val="en-GB"/>
        </w:rPr>
        <w:t xml:space="preserve"> </w:t>
      </w:r>
      <w:r w:rsidR="006008B7" w:rsidRPr="00D56D1D">
        <w:rPr>
          <w:lang w:val="en-GB"/>
        </w:rPr>
        <w:t>the new Assembly</w:t>
      </w:r>
      <w:r w:rsidR="006008B7">
        <w:rPr>
          <w:lang w:val="en-GB"/>
        </w:rPr>
        <w:t xml:space="preserve"> to </w:t>
      </w:r>
      <w:r w:rsidR="00F20690">
        <w:rPr>
          <w:lang w:val="en-GB"/>
        </w:rPr>
        <w:t>continue to press the EU Council for the adoption of this resolution</w:t>
      </w:r>
      <w:r w:rsidR="004243C7">
        <w:rPr>
          <w:lang w:val="en-GB"/>
        </w:rPr>
        <w:t>, with a view to</w:t>
      </w:r>
      <w:r w:rsidR="00A04D86">
        <w:rPr>
          <w:lang w:val="en-GB"/>
        </w:rPr>
        <w:t xml:space="preserve"> bringing tangible progress</w:t>
      </w:r>
      <w:r w:rsidR="00F20690">
        <w:rPr>
          <w:lang w:val="en-GB"/>
        </w:rPr>
        <w:t xml:space="preserve"> </w:t>
      </w:r>
      <w:r w:rsidR="00A04D86">
        <w:rPr>
          <w:lang w:val="en-GB"/>
        </w:rPr>
        <w:t>in the</w:t>
      </w:r>
      <w:r w:rsidR="002E114B">
        <w:rPr>
          <w:lang w:val="en-GB"/>
        </w:rPr>
        <w:t xml:space="preserve"> European elections of 2029.</w:t>
      </w:r>
    </w:p>
    <w:p w14:paraId="009C824C" w14:textId="77777777" w:rsidR="006F7DA9" w:rsidRPr="00461AF9" w:rsidRDefault="006F7DA9" w:rsidP="0087783B">
      <w:pPr>
        <w:pStyle w:val="Titre1"/>
      </w:pPr>
      <w:r w:rsidRPr="00461AF9">
        <w:t>Equality</w:t>
      </w:r>
    </w:p>
    <w:p w14:paraId="0F3F3FA1" w14:textId="342DB063" w:rsidR="006F7DA9" w:rsidRPr="00461AF9" w:rsidRDefault="006F7DA9" w:rsidP="0087783B">
      <w:pPr>
        <w:rPr>
          <w:lang w:val="en-GB"/>
        </w:rPr>
      </w:pPr>
      <w:r w:rsidRPr="00461AF9">
        <w:rPr>
          <w:lang w:val="en-GB"/>
        </w:rPr>
        <w:t>Over 1</w:t>
      </w:r>
      <w:r>
        <w:rPr>
          <w:lang w:val="en-GB"/>
        </w:rPr>
        <w:t>5</w:t>
      </w:r>
      <w:r w:rsidRPr="00461AF9">
        <w:rPr>
          <w:lang w:val="en-GB"/>
        </w:rPr>
        <w:t xml:space="preserve"> years ago, </w:t>
      </w:r>
      <w:r w:rsidR="005046D4">
        <w:rPr>
          <w:lang w:val="en-GB"/>
        </w:rPr>
        <w:t>a horizontal</w:t>
      </w:r>
      <w:r w:rsidRPr="00461AF9">
        <w:rPr>
          <w:lang w:val="en-GB"/>
        </w:rPr>
        <w:t xml:space="preserve"> </w:t>
      </w:r>
      <w:r w:rsidR="00005A9A" w:rsidRPr="009605C7">
        <w:rPr>
          <w:rStyle w:val="Accentuation"/>
          <w:lang w:val="en-GB"/>
        </w:rPr>
        <w:t>n</w:t>
      </w:r>
      <w:r w:rsidR="005046D4" w:rsidRPr="009605C7">
        <w:rPr>
          <w:rStyle w:val="Accentuation"/>
          <w:lang w:val="en-GB"/>
        </w:rPr>
        <w:t>on-</w:t>
      </w:r>
      <w:r w:rsidR="00005A9A" w:rsidRPr="009605C7">
        <w:rPr>
          <w:rStyle w:val="Accentuation"/>
          <w:lang w:val="en-GB"/>
        </w:rPr>
        <w:t>d</w:t>
      </w:r>
      <w:r w:rsidR="005046D4" w:rsidRPr="009605C7">
        <w:rPr>
          <w:rStyle w:val="Accentuation"/>
          <w:lang w:val="en-GB"/>
        </w:rPr>
        <w:t>iscrimination</w:t>
      </w:r>
      <w:r w:rsidRPr="00461AF9">
        <w:rPr>
          <w:b/>
          <w:lang w:val="en-GB"/>
        </w:rPr>
        <w:t xml:space="preserve"> </w:t>
      </w:r>
      <w:r w:rsidR="00810FCC">
        <w:rPr>
          <w:bCs/>
          <w:lang w:val="en-GB"/>
        </w:rPr>
        <w:t>d</w:t>
      </w:r>
      <w:r w:rsidRPr="00810FCC">
        <w:rPr>
          <w:bCs/>
          <w:lang w:val="en-GB"/>
        </w:rPr>
        <w:t>irective</w:t>
      </w:r>
      <w:r w:rsidRPr="00461AF9">
        <w:rPr>
          <w:lang w:val="en-GB"/>
        </w:rPr>
        <w:t xml:space="preserve"> was proposed by the European Commission to protect EU citizens against discrimination </w:t>
      </w:r>
      <w:r w:rsidR="0065129D">
        <w:rPr>
          <w:lang w:val="en-GB"/>
        </w:rPr>
        <w:t>on all grounds</w:t>
      </w:r>
      <w:r w:rsidRPr="00461AF9">
        <w:rPr>
          <w:lang w:val="en-GB"/>
        </w:rPr>
        <w:t xml:space="preserve">, be it disability, age, sexual orientation, or religious belief. </w:t>
      </w:r>
      <w:r w:rsidR="00C90F31">
        <w:rPr>
          <w:lang w:val="en-GB"/>
        </w:rPr>
        <w:t>Sadly, t</w:t>
      </w:r>
      <w:r w:rsidRPr="00461AF9">
        <w:rPr>
          <w:lang w:val="en-GB"/>
        </w:rPr>
        <w:t xml:space="preserve">he directive, which has always been supported by the Parliament, </w:t>
      </w:r>
      <w:r w:rsidR="00005A9A">
        <w:rPr>
          <w:lang w:val="en-GB"/>
        </w:rPr>
        <w:t>remains</w:t>
      </w:r>
      <w:r w:rsidRPr="00461AF9">
        <w:rPr>
          <w:lang w:val="en-GB"/>
        </w:rPr>
        <w:t xml:space="preserve"> blocked </w:t>
      </w:r>
      <w:r w:rsidR="00005A9A">
        <w:rPr>
          <w:lang w:val="en-GB"/>
        </w:rPr>
        <w:t>at</w:t>
      </w:r>
      <w:r w:rsidRPr="00461AF9">
        <w:rPr>
          <w:lang w:val="en-GB"/>
        </w:rPr>
        <w:t xml:space="preserve"> the Council. </w:t>
      </w:r>
    </w:p>
    <w:p w14:paraId="47241300" w14:textId="427A82D8" w:rsidR="001234C1" w:rsidRPr="0034755D" w:rsidRDefault="00FB3580" w:rsidP="0087783B">
      <w:pPr>
        <w:rPr>
          <w:i/>
          <w:iCs/>
          <w:lang w:val="en-GB"/>
        </w:rPr>
      </w:pPr>
      <w:r>
        <w:rPr>
          <w:lang w:val="en-GB"/>
        </w:rPr>
        <w:t>Through continued pushing for the</w:t>
      </w:r>
      <w:r w:rsidR="007E04F6">
        <w:rPr>
          <w:lang w:val="en-GB"/>
        </w:rPr>
        <w:t xml:space="preserve"> adoption of the above proposal</w:t>
      </w:r>
      <w:r>
        <w:rPr>
          <w:lang w:val="en-GB"/>
        </w:rPr>
        <w:t xml:space="preserve"> or, if necessary, through promoting an alternative pro</w:t>
      </w:r>
      <w:r w:rsidR="004922A2">
        <w:rPr>
          <w:lang w:val="en-GB"/>
        </w:rPr>
        <w:t xml:space="preserve">posal focused </w:t>
      </w:r>
      <w:r w:rsidR="00755093">
        <w:rPr>
          <w:lang w:val="en-GB"/>
        </w:rPr>
        <w:t xml:space="preserve">on </w:t>
      </w:r>
      <w:r w:rsidR="004922A2">
        <w:rPr>
          <w:lang w:val="en-GB"/>
        </w:rPr>
        <w:t xml:space="preserve">discrimination </w:t>
      </w:r>
      <w:proofErr w:type="gramStart"/>
      <w:r w:rsidR="004922A2">
        <w:rPr>
          <w:lang w:val="en-GB"/>
        </w:rPr>
        <w:t>on the basis of</w:t>
      </w:r>
      <w:proofErr w:type="gramEnd"/>
      <w:r w:rsidR="004922A2">
        <w:rPr>
          <w:lang w:val="en-GB"/>
        </w:rPr>
        <w:t xml:space="preserve"> disability</w:t>
      </w:r>
      <w:r w:rsidR="0057583E">
        <w:rPr>
          <w:lang w:val="en-GB"/>
        </w:rPr>
        <w:t xml:space="preserve"> </w:t>
      </w:r>
      <w:r w:rsidR="0057583E" w:rsidRPr="003F553B">
        <w:rPr>
          <w:rStyle w:val="Accentuation"/>
          <w:lang w:val="en-GB"/>
        </w:rPr>
        <w:t>beyond</w:t>
      </w:r>
      <w:r w:rsidR="00623023" w:rsidRPr="003F553B">
        <w:rPr>
          <w:rStyle w:val="Accentuation"/>
          <w:lang w:val="en-GB"/>
        </w:rPr>
        <w:t xml:space="preserve"> the area of</w:t>
      </w:r>
      <w:r w:rsidR="003C26C1" w:rsidRPr="003F553B">
        <w:rPr>
          <w:rStyle w:val="Accentuation"/>
          <w:lang w:val="en-GB"/>
        </w:rPr>
        <w:t xml:space="preserve"> </w:t>
      </w:r>
      <w:r w:rsidR="00623023" w:rsidRPr="003F553B">
        <w:rPr>
          <w:rStyle w:val="Accentuation"/>
          <w:lang w:val="en-GB"/>
        </w:rPr>
        <w:t>employment</w:t>
      </w:r>
      <w:r w:rsidR="004922A2">
        <w:rPr>
          <w:lang w:val="en-GB"/>
        </w:rPr>
        <w:t>, w</w:t>
      </w:r>
      <w:r w:rsidR="006F7DA9" w:rsidRPr="00461AF9">
        <w:rPr>
          <w:lang w:val="en-GB"/>
        </w:rPr>
        <w:t xml:space="preserve">e </w:t>
      </w:r>
      <w:r w:rsidR="00711F7A">
        <w:rPr>
          <w:lang w:val="en-GB"/>
        </w:rPr>
        <w:t>expect the new Assembly</w:t>
      </w:r>
      <w:r w:rsidR="00DC362A" w:rsidRPr="00DC362A">
        <w:rPr>
          <w:lang w:val="en-GB"/>
        </w:rPr>
        <w:t xml:space="preserve"> to provide greater protection to persons with disabilities against discrimination</w:t>
      </w:r>
      <w:r w:rsidR="00CA0D38" w:rsidRPr="00A72C2C">
        <w:rPr>
          <w:lang w:val="en-GB"/>
        </w:rPr>
        <w:t xml:space="preserve">, including </w:t>
      </w:r>
      <w:r w:rsidR="00E04C5F" w:rsidRPr="00A72C2C">
        <w:rPr>
          <w:lang w:val="en-GB"/>
        </w:rPr>
        <w:t xml:space="preserve">by </w:t>
      </w:r>
      <w:r w:rsidR="007C444D" w:rsidRPr="00A72C2C">
        <w:rPr>
          <w:lang w:val="en-GB"/>
        </w:rPr>
        <w:t xml:space="preserve">contributing to </w:t>
      </w:r>
      <w:r w:rsidR="00E04C5F" w:rsidRPr="00A72C2C">
        <w:rPr>
          <w:lang w:val="en-GB"/>
        </w:rPr>
        <w:t xml:space="preserve">strengthening the </w:t>
      </w:r>
      <w:r w:rsidR="0034755D" w:rsidRPr="00A72C2C">
        <w:rPr>
          <w:lang w:val="en-GB"/>
        </w:rPr>
        <w:t>powers and means</w:t>
      </w:r>
      <w:r w:rsidR="007C444D" w:rsidRPr="00A72C2C">
        <w:rPr>
          <w:lang w:val="en-GB"/>
        </w:rPr>
        <w:t xml:space="preserve"> of equality bodies</w:t>
      </w:r>
      <w:r w:rsidR="006C7981">
        <w:rPr>
          <w:lang w:val="en-GB"/>
        </w:rPr>
        <w:t>.</w:t>
      </w:r>
      <w:r w:rsidR="00755093" w:rsidRPr="00EF5E28">
        <w:rPr>
          <w:i/>
          <w:iCs/>
          <w:lang w:val="en-GB"/>
        </w:rPr>
        <w:t xml:space="preserve"> </w:t>
      </w:r>
    </w:p>
    <w:p w14:paraId="7ADFA506" w14:textId="48079261" w:rsidR="00E13108" w:rsidRPr="00E95B1F" w:rsidRDefault="00E13108" w:rsidP="0087783B">
      <w:pPr>
        <w:pStyle w:val="Titre1"/>
      </w:pPr>
      <w:r>
        <w:t xml:space="preserve">Free movement </w:t>
      </w:r>
      <w:r w:rsidR="00DF0AB0">
        <w:t>with</w:t>
      </w:r>
      <w:r>
        <w:t>in the EU</w:t>
      </w:r>
    </w:p>
    <w:p w14:paraId="0692D318" w14:textId="22504C89" w:rsidR="006E7830" w:rsidRDefault="00E13108" w:rsidP="0087783B">
      <w:pPr>
        <w:rPr>
          <w:lang w:val="en-GB"/>
        </w:rPr>
      </w:pPr>
      <w:r w:rsidRPr="00E95B1F">
        <w:rPr>
          <w:lang w:val="en-GB"/>
        </w:rPr>
        <w:t xml:space="preserve">The </w:t>
      </w:r>
      <w:r w:rsidRPr="005B4E67">
        <w:rPr>
          <w:rStyle w:val="Accentuation"/>
          <w:lang w:val="en-GB"/>
        </w:rPr>
        <w:t>EU Disability Card</w:t>
      </w:r>
      <w:r w:rsidRPr="00E95B1F">
        <w:rPr>
          <w:lang w:val="en-GB"/>
        </w:rPr>
        <w:t xml:space="preserve">, which provides facilitated access for people with disabilities to a variety of services, notably in the areas of recreation and leisure (museums and cultural sites) and transport, </w:t>
      </w:r>
      <w:r w:rsidR="00383DE9">
        <w:rPr>
          <w:lang w:val="en-GB"/>
        </w:rPr>
        <w:t xml:space="preserve">so far has only been </w:t>
      </w:r>
      <w:r w:rsidRPr="00E95B1F">
        <w:rPr>
          <w:lang w:val="en-GB"/>
        </w:rPr>
        <w:t xml:space="preserve">a pilot </w:t>
      </w:r>
      <w:r w:rsidR="00383DE9">
        <w:rPr>
          <w:lang w:val="en-GB"/>
        </w:rPr>
        <w:t>project</w:t>
      </w:r>
      <w:r w:rsidR="00C54E24">
        <w:rPr>
          <w:lang w:val="en-GB"/>
        </w:rPr>
        <w:t>, and as</w:t>
      </w:r>
      <w:r w:rsidRPr="00E95B1F">
        <w:rPr>
          <w:lang w:val="en-GB"/>
        </w:rPr>
        <w:t xml:space="preserve"> such it is implemented on a voluntary basis, in </w:t>
      </w:r>
      <w:r w:rsidR="00C54E24">
        <w:rPr>
          <w:lang w:val="en-GB"/>
        </w:rPr>
        <w:t xml:space="preserve">only </w:t>
      </w:r>
      <w:r w:rsidR="007A66D3">
        <w:rPr>
          <w:lang w:val="en-GB"/>
        </w:rPr>
        <w:t>8</w:t>
      </w:r>
      <w:r w:rsidRPr="00E95B1F">
        <w:rPr>
          <w:lang w:val="en-GB"/>
        </w:rPr>
        <w:t xml:space="preserve"> EU countries, and </w:t>
      </w:r>
      <w:r w:rsidR="007A66D3">
        <w:rPr>
          <w:lang w:val="en-GB"/>
        </w:rPr>
        <w:t>without</w:t>
      </w:r>
      <w:r w:rsidRPr="00E95B1F">
        <w:rPr>
          <w:lang w:val="en-GB"/>
        </w:rPr>
        <w:t xml:space="preserve"> cover</w:t>
      </w:r>
      <w:r w:rsidR="007A66D3">
        <w:rPr>
          <w:lang w:val="en-GB"/>
        </w:rPr>
        <w:t>ing</w:t>
      </w:r>
      <w:r w:rsidRPr="00E95B1F">
        <w:rPr>
          <w:lang w:val="en-GB"/>
        </w:rPr>
        <w:t xml:space="preserve"> the same areas in all the participating countries. </w:t>
      </w:r>
    </w:p>
    <w:p w14:paraId="11A2BCBE" w14:textId="7B6E095C" w:rsidR="00DC13EA" w:rsidRPr="00DC13EA" w:rsidRDefault="00DC13EA" w:rsidP="0087783B">
      <w:pPr>
        <w:rPr>
          <w:lang w:val="en-GB"/>
        </w:rPr>
      </w:pPr>
      <w:r w:rsidRPr="00DC13EA">
        <w:rPr>
          <w:lang w:val="en-GB"/>
        </w:rPr>
        <w:t xml:space="preserve">The European Commission has presented a legislative proposal </w:t>
      </w:r>
      <w:r w:rsidR="005D2EF1" w:rsidRPr="008E2515">
        <w:rPr>
          <w:lang w:val="en-GB"/>
        </w:rPr>
        <w:t xml:space="preserve">that aims </w:t>
      </w:r>
      <w:r w:rsidRPr="008E2515">
        <w:rPr>
          <w:lang w:val="en-GB"/>
        </w:rPr>
        <w:t>to make the card what citizens with disabilities expect it to be: an EU-wide scheme of recognition of disability for</w:t>
      </w:r>
      <w:r w:rsidR="00175A1D" w:rsidRPr="008E2515">
        <w:rPr>
          <w:rStyle w:val="Accentuation"/>
          <w:lang w:val="en-GB"/>
        </w:rPr>
        <w:t xml:space="preserve"> equal access to disability-related benefits and services</w:t>
      </w:r>
      <w:r w:rsidR="00175A1D" w:rsidRPr="008E2515">
        <w:rPr>
          <w:lang w:val="en-GB"/>
        </w:rPr>
        <w:t xml:space="preserve"> for people with disabilities exercising their right of free movement within the EU</w:t>
      </w:r>
      <w:r w:rsidRPr="008E2515">
        <w:rPr>
          <w:lang w:val="en-GB"/>
        </w:rPr>
        <w:t>.</w:t>
      </w:r>
    </w:p>
    <w:p w14:paraId="2EA13E4C" w14:textId="556A1DF0" w:rsidR="00E13108" w:rsidRDefault="00DC13EA" w:rsidP="0087783B">
      <w:pPr>
        <w:rPr>
          <w:lang w:val="en-GB"/>
        </w:rPr>
      </w:pPr>
      <w:r w:rsidRPr="00DC13EA">
        <w:rPr>
          <w:lang w:val="en-GB"/>
        </w:rPr>
        <w:t>Should this legislative file remain pending, we expect the new Assembly</w:t>
      </w:r>
      <w:r w:rsidR="005D2EF1">
        <w:rPr>
          <w:lang w:val="en-GB"/>
        </w:rPr>
        <w:t xml:space="preserve"> </w:t>
      </w:r>
      <w:r w:rsidR="005526AE">
        <w:rPr>
          <w:lang w:val="en-GB"/>
        </w:rPr>
        <w:t xml:space="preserve">to </w:t>
      </w:r>
      <w:r w:rsidR="00F5696C">
        <w:rPr>
          <w:lang w:val="en-GB"/>
        </w:rPr>
        <w:t xml:space="preserve">support a card that will </w:t>
      </w:r>
      <w:r w:rsidR="00A8080B" w:rsidRPr="00A8080B">
        <w:rPr>
          <w:lang w:val="en-GB"/>
        </w:rPr>
        <w:t xml:space="preserve">ensure the mutual recognition of disability status across Member States, covering not only </w:t>
      </w:r>
      <w:r w:rsidR="00DD2FB7">
        <w:rPr>
          <w:lang w:val="en-GB"/>
        </w:rPr>
        <w:t xml:space="preserve">tourism, </w:t>
      </w:r>
      <w:r w:rsidR="00A8080B" w:rsidRPr="00A8080B">
        <w:rPr>
          <w:lang w:val="en-GB"/>
        </w:rPr>
        <w:t xml:space="preserve">leisure, </w:t>
      </w:r>
      <w:r w:rsidR="00AE794F">
        <w:rPr>
          <w:lang w:val="en-GB"/>
        </w:rPr>
        <w:t xml:space="preserve">transport, </w:t>
      </w:r>
      <w:proofErr w:type="gramStart"/>
      <w:r w:rsidR="00A8080B" w:rsidRPr="00A8080B">
        <w:rPr>
          <w:lang w:val="en-GB"/>
        </w:rPr>
        <w:t>culture</w:t>
      </w:r>
      <w:proofErr w:type="gramEnd"/>
      <w:r w:rsidR="00A8080B" w:rsidRPr="00A8080B">
        <w:rPr>
          <w:lang w:val="en-GB"/>
        </w:rPr>
        <w:t xml:space="preserve"> and sport, but all specific services to persons with disabilities, </w:t>
      </w:r>
      <w:r w:rsidR="00A8080B" w:rsidRPr="00C66E5F">
        <w:rPr>
          <w:lang w:val="en-GB"/>
        </w:rPr>
        <w:t>including commercial services</w:t>
      </w:r>
      <w:r w:rsidR="00036073" w:rsidRPr="00036073">
        <w:rPr>
          <w:lang w:val="en-GB"/>
        </w:rPr>
        <w:t xml:space="preserve"> </w:t>
      </w:r>
      <w:r w:rsidR="002C5F70" w:rsidRPr="002C5F70">
        <w:rPr>
          <w:lang w:val="en-GB"/>
        </w:rPr>
        <w:t>such as</w:t>
      </w:r>
      <w:r w:rsidR="00C66E5F">
        <w:rPr>
          <w:lang w:val="en-GB"/>
        </w:rPr>
        <w:t>,</w:t>
      </w:r>
      <w:r w:rsidR="002C5F70" w:rsidRPr="002C5F70">
        <w:rPr>
          <w:lang w:val="en-GB"/>
        </w:rPr>
        <w:t xml:space="preserve"> for instance</w:t>
      </w:r>
      <w:r w:rsidR="00C66E5F">
        <w:rPr>
          <w:lang w:val="en-GB"/>
        </w:rPr>
        <w:t>,</w:t>
      </w:r>
      <w:r w:rsidR="002C5F70">
        <w:rPr>
          <w:lang w:val="en-GB"/>
        </w:rPr>
        <w:t xml:space="preserve"> </w:t>
      </w:r>
      <w:r w:rsidR="00036073" w:rsidRPr="00036073">
        <w:rPr>
          <w:lang w:val="en-GB"/>
        </w:rPr>
        <w:lastRenderedPageBreak/>
        <w:t>discounts on assistive devices</w:t>
      </w:r>
      <w:r w:rsidR="00A8080B" w:rsidRPr="00A8080B">
        <w:rPr>
          <w:lang w:val="en-GB"/>
        </w:rPr>
        <w:t>.</w:t>
      </w:r>
      <w:r w:rsidR="002606FA">
        <w:rPr>
          <w:lang w:val="en-GB"/>
        </w:rPr>
        <w:t xml:space="preserve"> </w:t>
      </w:r>
      <w:r w:rsidR="00B305FF">
        <w:rPr>
          <w:lang w:val="en-GB"/>
        </w:rPr>
        <w:t xml:space="preserve">For the card to make a significant difference in </w:t>
      </w:r>
      <w:r w:rsidR="00F73E51">
        <w:rPr>
          <w:lang w:val="en-GB"/>
        </w:rPr>
        <w:t xml:space="preserve">guaranteeing </w:t>
      </w:r>
      <w:r w:rsidR="00F73E51" w:rsidRPr="009605C7">
        <w:rPr>
          <w:rStyle w:val="Accentuation"/>
          <w:lang w:val="en-GB"/>
        </w:rPr>
        <w:t>equal treatment in movement</w:t>
      </w:r>
      <w:r w:rsidR="00F73E51">
        <w:rPr>
          <w:lang w:val="en-GB"/>
        </w:rPr>
        <w:t xml:space="preserve"> for persons with disabilities, </w:t>
      </w:r>
      <w:r w:rsidR="005339FA">
        <w:rPr>
          <w:lang w:val="en-GB"/>
        </w:rPr>
        <w:t>it</w:t>
      </w:r>
      <w:r w:rsidR="00D67D6A">
        <w:rPr>
          <w:lang w:val="en-GB"/>
        </w:rPr>
        <w:t xml:space="preserve"> should </w:t>
      </w:r>
      <w:r w:rsidR="00E6568A">
        <w:rPr>
          <w:lang w:val="en-GB"/>
        </w:rPr>
        <w:t xml:space="preserve">not only concern travelling to another EU country, but </w:t>
      </w:r>
      <w:r w:rsidR="00D67D6A">
        <w:rPr>
          <w:lang w:val="en-GB"/>
        </w:rPr>
        <w:t xml:space="preserve">also facilitate the </w:t>
      </w:r>
      <w:r w:rsidR="006D6BC2" w:rsidRPr="009605C7">
        <w:rPr>
          <w:rStyle w:val="Accentuation"/>
          <w:lang w:val="en-GB"/>
        </w:rPr>
        <w:t xml:space="preserve">transitional </w:t>
      </w:r>
      <w:r w:rsidR="00D67D6A" w:rsidRPr="009605C7">
        <w:rPr>
          <w:rStyle w:val="Accentuation"/>
          <w:lang w:val="en-GB"/>
        </w:rPr>
        <w:t xml:space="preserve">recognition of </w:t>
      </w:r>
      <w:r w:rsidR="00C124C5" w:rsidRPr="009605C7">
        <w:rPr>
          <w:rStyle w:val="Accentuation"/>
          <w:lang w:val="en-GB"/>
        </w:rPr>
        <w:t>the</w:t>
      </w:r>
      <w:r w:rsidR="00D67D6A" w:rsidRPr="009605C7">
        <w:rPr>
          <w:rStyle w:val="Accentuation"/>
          <w:lang w:val="en-GB"/>
        </w:rPr>
        <w:t xml:space="preserve"> disability status</w:t>
      </w:r>
      <w:r w:rsidR="00602D62">
        <w:rPr>
          <w:lang w:val="en-GB"/>
        </w:rPr>
        <w:t xml:space="preserve"> </w:t>
      </w:r>
      <w:r w:rsidR="00A8080B" w:rsidRPr="00A8080B">
        <w:rPr>
          <w:lang w:val="en-GB"/>
        </w:rPr>
        <w:t>when mov</w:t>
      </w:r>
      <w:r w:rsidR="00C124C5">
        <w:rPr>
          <w:lang w:val="en-GB"/>
        </w:rPr>
        <w:t>ing</w:t>
      </w:r>
      <w:r w:rsidR="00A8080B" w:rsidRPr="00A8080B">
        <w:rPr>
          <w:lang w:val="en-GB"/>
        </w:rPr>
        <w:t xml:space="preserve"> to another country to study or to work</w:t>
      </w:r>
      <w:r w:rsidR="00C124C5">
        <w:rPr>
          <w:lang w:val="en-GB"/>
        </w:rPr>
        <w:t>,</w:t>
      </w:r>
      <w:r w:rsidR="00A8080B" w:rsidRPr="00A8080B">
        <w:rPr>
          <w:lang w:val="en-GB"/>
        </w:rPr>
        <w:t xml:space="preserve"> while the disability is certified by the new country of residence</w:t>
      </w:r>
      <w:r w:rsidR="000615D1">
        <w:rPr>
          <w:lang w:val="en-GB"/>
        </w:rPr>
        <w:t>—</w:t>
      </w:r>
      <w:r w:rsidR="00E9428A">
        <w:rPr>
          <w:lang w:val="en-GB"/>
        </w:rPr>
        <w:t>although</w:t>
      </w:r>
      <w:r w:rsidR="000615D1">
        <w:rPr>
          <w:lang w:val="en-GB"/>
        </w:rPr>
        <w:t xml:space="preserve"> </w:t>
      </w:r>
      <w:r w:rsidR="00E9428A">
        <w:rPr>
          <w:lang w:val="en-GB"/>
        </w:rPr>
        <w:t>this m</w:t>
      </w:r>
      <w:r w:rsidR="000615D1">
        <w:rPr>
          <w:lang w:val="en-GB"/>
        </w:rPr>
        <w:t xml:space="preserve">ight require a separate legal </w:t>
      </w:r>
      <w:r w:rsidR="003542D2">
        <w:rPr>
          <w:lang w:val="en-GB"/>
        </w:rPr>
        <w:t>instrument</w:t>
      </w:r>
      <w:r w:rsidR="000615D1">
        <w:rPr>
          <w:lang w:val="en-GB"/>
        </w:rPr>
        <w:t>.</w:t>
      </w:r>
    </w:p>
    <w:p w14:paraId="4329F590" w14:textId="08074BF4" w:rsidR="00735E69" w:rsidRDefault="00735E69" w:rsidP="0087783B">
      <w:pPr>
        <w:pStyle w:val="Titre1"/>
      </w:pPr>
      <w:r>
        <w:t>Passenger rights</w:t>
      </w:r>
    </w:p>
    <w:p w14:paraId="2D5AAFEB" w14:textId="77777777" w:rsidR="00735E69" w:rsidRPr="001C4FA0" w:rsidRDefault="00735E69" w:rsidP="0087783B">
      <w:pPr>
        <w:rPr>
          <w:lang w:val="en-GB"/>
        </w:rPr>
      </w:pPr>
      <w:r w:rsidRPr="001C4FA0">
        <w:rPr>
          <w:lang w:val="en-GB"/>
        </w:rPr>
        <w:t xml:space="preserve">To be truly included in society, visually impaired people need to be able to </w:t>
      </w:r>
      <w:r w:rsidRPr="001C4FA0">
        <w:rPr>
          <w:rStyle w:val="Accentuation"/>
          <w:lang w:val="en-GB"/>
        </w:rPr>
        <w:t>move around and travel autonomously</w:t>
      </w:r>
      <w:r w:rsidRPr="001C4FA0">
        <w:rPr>
          <w:lang w:val="en-GB"/>
        </w:rPr>
        <w:t>, as freely as any other person in the EU.</w:t>
      </w:r>
    </w:p>
    <w:p w14:paraId="0B1B8D10" w14:textId="77777777" w:rsidR="00735E69" w:rsidRPr="001C4FA0" w:rsidRDefault="00735E69" w:rsidP="0087783B">
      <w:pPr>
        <w:rPr>
          <w:lang w:val="en-GB"/>
        </w:rPr>
      </w:pPr>
      <w:r w:rsidRPr="001C4FA0">
        <w:rPr>
          <w:lang w:val="en-GB"/>
        </w:rPr>
        <w:t xml:space="preserve">We expect the new Assembly to support an </w:t>
      </w:r>
      <w:r w:rsidRPr="001C4FA0">
        <w:rPr>
          <w:rStyle w:val="Accentuation"/>
          <w:lang w:val="en-GB"/>
        </w:rPr>
        <w:t>update of the EU passenger rights regulations</w:t>
      </w:r>
      <w:r w:rsidRPr="001C4FA0">
        <w:rPr>
          <w:lang w:val="en-GB"/>
        </w:rPr>
        <w:t xml:space="preserve"> that will ensure this. Specifically:</w:t>
      </w:r>
    </w:p>
    <w:p w14:paraId="3AFF4540" w14:textId="0511045D" w:rsidR="00735E69" w:rsidRPr="001C4FA0" w:rsidRDefault="00735E69" w:rsidP="0087783B">
      <w:pPr>
        <w:pStyle w:val="Paragraphedeliste"/>
        <w:numPr>
          <w:ilvl w:val="0"/>
          <w:numId w:val="5"/>
        </w:numPr>
        <w:rPr>
          <w:lang w:val="en-GB"/>
        </w:rPr>
      </w:pPr>
      <w:r w:rsidRPr="001C4FA0">
        <w:rPr>
          <w:lang w:val="en-GB"/>
        </w:rPr>
        <w:t xml:space="preserve">In </w:t>
      </w:r>
      <w:r w:rsidRPr="001C4FA0">
        <w:rPr>
          <w:rStyle w:val="Accentuation"/>
          <w:lang w:val="en-GB"/>
        </w:rPr>
        <w:t>air transport</w:t>
      </w:r>
      <w:r w:rsidRPr="001C4FA0">
        <w:rPr>
          <w:lang w:val="en-GB"/>
        </w:rPr>
        <w:t xml:space="preserve">, it should </w:t>
      </w:r>
      <w:proofErr w:type="spellStart"/>
      <w:r w:rsidRPr="001C4FA0">
        <w:rPr>
          <w:lang w:val="en-GB"/>
        </w:rPr>
        <w:t>no</w:t>
      </w:r>
      <w:proofErr w:type="spellEnd"/>
      <w:r w:rsidR="00C82275">
        <w:rPr>
          <w:lang w:val="en-GB"/>
        </w:rPr>
        <w:t xml:space="preserve"> longer</w:t>
      </w:r>
      <w:r w:rsidRPr="001C4FA0">
        <w:rPr>
          <w:lang w:val="en-GB"/>
        </w:rPr>
        <w:t xml:space="preserve"> be possible to deny boarding to visually impaired travellers for ‘safety reasons’, nor to deny boarding with a properly trained </w:t>
      </w:r>
      <w:r>
        <w:rPr>
          <w:lang w:val="en-GB"/>
        </w:rPr>
        <w:t>guide</w:t>
      </w:r>
      <w:r w:rsidRPr="001C4FA0">
        <w:rPr>
          <w:lang w:val="en-GB"/>
        </w:rPr>
        <w:t xml:space="preserve"> dog, and any such denial should open a right to swift and fair compensation. </w:t>
      </w:r>
      <w:r w:rsidRPr="00F9462E">
        <w:rPr>
          <w:lang w:val="en-GB"/>
        </w:rPr>
        <w:t>Air carriers should also be obliged</w:t>
      </w:r>
      <w:r w:rsidR="007D3417">
        <w:rPr>
          <w:lang w:val="en-GB"/>
        </w:rPr>
        <w:t>, as is the case in other transport modes,</w:t>
      </w:r>
      <w:r w:rsidRPr="00F9462E">
        <w:rPr>
          <w:lang w:val="en-GB"/>
        </w:rPr>
        <w:t xml:space="preserve"> to provide a ticket free of charge if they </w:t>
      </w:r>
      <w:r w:rsidR="00C73AC5" w:rsidRPr="00F9462E">
        <w:rPr>
          <w:lang w:val="en-GB"/>
        </w:rPr>
        <w:t>impose</w:t>
      </w:r>
      <w:r w:rsidRPr="00F9462E">
        <w:rPr>
          <w:lang w:val="en-GB"/>
        </w:rPr>
        <w:t xml:space="preserve"> an accompanying person.</w:t>
      </w:r>
    </w:p>
    <w:p w14:paraId="2432EA46" w14:textId="77777777" w:rsidR="00110CE8" w:rsidRPr="001469CC" w:rsidRDefault="00110CE8" w:rsidP="0087783B">
      <w:pPr>
        <w:pStyle w:val="Paragraphedeliste"/>
        <w:numPr>
          <w:ilvl w:val="0"/>
          <w:numId w:val="5"/>
        </w:numPr>
        <w:rPr>
          <w:lang w:val="en-GB"/>
        </w:rPr>
      </w:pPr>
      <w:r w:rsidRPr="001C4FA0">
        <w:rPr>
          <w:lang w:val="en-GB"/>
        </w:rPr>
        <w:t xml:space="preserve">In </w:t>
      </w:r>
      <w:r w:rsidRPr="001C4FA0">
        <w:rPr>
          <w:rStyle w:val="Accentuation"/>
          <w:lang w:val="en-GB"/>
        </w:rPr>
        <w:t>road transport</w:t>
      </w:r>
      <w:r w:rsidRPr="001C4FA0">
        <w:rPr>
          <w:lang w:val="en-GB"/>
        </w:rPr>
        <w:t xml:space="preserve">, the obligation to </w:t>
      </w:r>
      <w:proofErr w:type="gramStart"/>
      <w:r w:rsidRPr="001C4FA0">
        <w:rPr>
          <w:lang w:val="en-GB"/>
        </w:rPr>
        <w:t>provide assistance</w:t>
      </w:r>
      <w:proofErr w:type="gramEnd"/>
      <w:r w:rsidRPr="001C4FA0">
        <w:rPr>
          <w:lang w:val="en-GB"/>
        </w:rPr>
        <w:t xml:space="preserve"> should not be limited to cross-border services and certain domestic services above 250 km, thereby excluding many local and regional services. </w:t>
      </w:r>
    </w:p>
    <w:p w14:paraId="6E10890E" w14:textId="4CEDF8AF" w:rsidR="00735E69" w:rsidRPr="00ED13F9" w:rsidRDefault="00735E69" w:rsidP="0087783B">
      <w:pPr>
        <w:pStyle w:val="Paragraphedeliste"/>
        <w:numPr>
          <w:ilvl w:val="0"/>
          <w:numId w:val="5"/>
        </w:numPr>
        <w:rPr>
          <w:lang w:val="en-GB"/>
        </w:rPr>
      </w:pPr>
      <w:r w:rsidRPr="00ED13F9">
        <w:rPr>
          <w:lang w:val="en-GB"/>
        </w:rPr>
        <w:t xml:space="preserve">In </w:t>
      </w:r>
      <w:r w:rsidRPr="00ED13F9">
        <w:rPr>
          <w:rStyle w:val="Accentuation"/>
          <w:lang w:val="en-GB"/>
        </w:rPr>
        <w:t>rail transport</w:t>
      </w:r>
      <w:r w:rsidRPr="00ED13F9">
        <w:rPr>
          <w:lang w:val="en-GB"/>
        </w:rPr>
        <w:t xml:space="preserve">, </w:t>
      </w:r>
      <w:r w:rsidR="005E568C" w:rsidRPr="00ED13F9">
        <w:rPr>
          <w:lang w:val="en-GB"/>
        </w:rPr>
        <w:t>looking beyond the still recent</w:t>
      </w:r>
      <w:r w:rsidR="00ED13F9" w:rsidRPr="00ED13F9">
        <w:rPr>
          <w:lang w:val="en-GB"/>
        </w:rPr>
        <w:t xml:space="preserve"> revision of the legislation</w:t>
      </w:r>
      <w:r w:rsidR="00E557D9" w:rsidRPr="00ED13F9">
        <w:rPr>
          <w:lang w:val="en-GB"/>
        </w:rPr>
        <w:t xml:space="preserve">, </w:t>
      </w:r>
      <w:r w:rsidRPr="00ED13F9">
        <w:rPr>
          <w:lang w:val="en-GB"/>
        </w:rPr>
        <w:t xml:space="preserve">the obligation to </w:t>
      </w:r>
      <w:proofErr w:type="gramStart"/>
      <w:r w:rsidRPr="00ED13F9">
        <w:rPr>
          <w:lang w:val="en-GB"/>
        </w:rPr>
        <w:t>provide assistance to</w:t>
      </w:r>
      <w:proofErr w:type="gramEnd"/>
      <w:r w:rsidRPr="00ED13F9">
        <w:rPr>
          <w:lang w:val="en-GB"/>
        </w:rPr>
        <w:t xml:space="preserve"> visually impaired travellers should </w:t>
      </w:r>
      <w:r w:rsidR="00ED13F9" w:rsidRPr="00ED13F9">
        <w:rPr>
          <w:lang w:val="en-GB"/>
        </w:rPr>
        <w:t xml:space="preserve">eventually </w:t>
      </w:r>
      <w:r w:rsidRPr="00ED13F9">
        <w:rPr>
          <w:lang w:val="en-GB"/>
        </w:rPr>
        <w:t>not be limited to larger stations, nor be subject to a condition of prior notification.</w:t>
      </w:r>
    </w:p>
    <w:p w14:paraId="332EC639" w14:textId="11702202" w:rsidR="00C842AF" w:rsidRPr="009B4795" w:rsidRDefault="00C842AF" w:rsidP="0087783B">
      <w:pPr>
        <w:pStyle w:val="Titre1"/>
      </w:pPr>
      <w:r w:rsidRPr="00C540D7">
        <w:t>Accessibility</w:t>
      </w:r>
      <w:r w:rsidR="008B439D" w:rsidRPr="00C540D7">
        <w:t xml:space="preserve"> </w:t>
      </w:r>
      <w:r w:rsidR="00C540D7">
        <w:t>of products and services</w:t>
      </w:r>
    </w:p>
    <w:p w14:paraId="2C298B00" w14:textId="3F5213A2" w:rsidR="005D25EA" w:rsidRPr="001928BC" w:rsidRDefault="001928BC" w:rsidP="0087783B">
      <w:pPr>
        <w:pStyle w:val="Titre2"/>
      </w:pPr>
      <w:r w:rsidRPr="001928BC">
        <w:t>Gaps of the European Accessibility Act</w:t>
      </w:r>
    </w:p>
    <w:p w14:paraId="247746C9" w14:textId="47E4DE41" w:rsidR="00C842AF" w:rsidRPr="009B4795" w:rsidRDefault="00C842AF" w:rsidP="0087783B">
      <w:pPr>
        <w:rPr>
          <w:lang w:val="en-GB"/>
        </w:rPr>
      </w:pPr>
      <w:r w:rsidRPr="009B4795">
        <w:rPr>
          <w:lang w:val="en-GB"/>
        </w:rPr>
        <w:t xml:space="preserve">While there has been significant progress </w:t>
      </w:r>
      <w:proofErr w:type="gramStart"/>
      <w:r w:rsidRPr="009B4795">
        <w:rPr>
          <w:lang w:val="en-GB"/>
        </w:rPr>
        <w:t xml:space="preserve">in </w:t>
      </w:r>
      <w:r w:rsidR="002D1A5F">
        <w:rPr>
          <w:lang w:val="en-GB"/>
        </w:rPr>
        <w:t xml:space="preserve">the </w:t>
      </w:r>
      <w:r w:rsidRPr="009B4795">
        <w:rPr>
          <w:lang w:val="en-GB"/>
        </w:rPr>
        <w:t xml:space="preserve">area </w:t>
      </w:r>
      <w:r w:rsidR="002D1A5F">
        <w:rPr>
          <w:lang w:val="en-GB"/>
        </w:rPr>
        <w:t>of</w:t>
      </w:r>
      <w:proofErr w:type="gramEnd"/>
      <w:r w:rsidR="002D1A5F">
        <w:rPr>
          <w:lang w:val="en-GB"/>
        </w:rPr>
        <w:t xml:space="preserve"> accessibility </w:t>
      </w:r>
      <w:r w:rsidRPr="009B4795">
        <w:rPr>
          <w:lang w:val="en-GB"/>
        </w:rPr>
        <w:t>recently with the European Accessibility Act</w:t>
      </w:r>
      <w:r w:rsidR="00C86745">
        <w:rPr>
          <w:lang w:val="en-GB"/>
        </w:rPr>
        <w:t xml:space="preserve">, </w:t>
      </w:r>
      <w:r w:rsidR="00CD4E36">
        <w:rPr>
          <w:lang w:val="en-GB"/>
        </w:rPr>
        <w:t xml:space="preserve">the provisions of </w:t>
      </w:r>
      <w:r w:rsidR="00C86745">
        <w:rPr>
          <w:lang w:val="en-GB"/>
        </w:rPr>
        <w:t xml:space="preserve">which will </w:t>
      </w:r>
      <w:r w:rsidR="003021FA">
        <w:rPr>
          <w:lang w:val="en-GB"/>
        </w:rPr>
        <w:t>have to be respected</w:t>
      </w:r>
      <w:r w:rsidR="00CD4E36">
        <w:rPr>
          <w:lang w:val="en-GB"/>
        </w:rPr>
        <w:t xml:space="preserve"> by June 2025</w:t>
      </w:r>
      <w:r w:rsidRPr="009B4795">
        <w:rPr>
          <w:lang w:val="en-GB"/>
        </w:rPr>
        <w:t xml:space="preserve">, </w:t>
      </w:r>
      <w:r w:rsidR="00CD4E36">
        <w:rPr>
          <w:lang w:val="en-GB"/>
        </w:rPr>
        <w:t>this is not</w:t>
      </w:r>
      <w:r w:rsidRPr="009B4795">
        <w:rPr>
          <w:lang w:val="en-GB"/>
        </w:rPr>
        <w:t xml:space="preserve"> a truly horizontal directive. With its limited scope, </w:t>
      </w:r>
      <w:r w:rsidR="00C4170F">
        <w:rPr>
          <w:lang w:val="en-GB"/>
        </w:rPr>
        <w:t>it</w:t>
      </w:r>
      <w:r w:rsidRPr="009B4795">
        <w:rPr>
          <w:lang w:val="en-GB"/>
        </w:rPr>
        <w:t xml:space="preserve"> remains mostly a digital act</w:t>
      </w:r>
      <w:r w:rsidR="000955B1" w:rsidRPr="00A72C2C">
        <w:rPr>
          <w:lang w:val="en-GB"/>
        </w:rPr>
        <w:t>. We</w:t>
      </w:r>
      <w:r w:rsidR="00CC1B7C" w:rsidRPr="00A72C2C">
        <w:rPr>
          <w:lang w:val="en-GB"/>
        </w:rPr>
        <w:t xml:space="preserve"> welcome the </w:t>
      </w:r>
      <w:r w:rsidR="00076D0F" w:rsidRPr="00A72C2C">
        <w:rPr>
          <w:lang w:val="en-GB"/>
        </w:rPr>
        <w:t>attention to</w:t>
      </w:r>
      <w:r w:rsidR="00CC1B7C" w:rsidRPr="00A72C2C">
        <w:rPr>
          <w:lang w:val="en-GB"/>
        </w:rPr>
        <w:t xml:space="preserve"> digital accessibility because </w:t>
      </w:r>
      <w:r w:rsidR="000A0848" w:rsidRPr="00A72C2C">
        <w:rPr>
          <w:lang w:val="en-GB"/>
        </w:rPr>
        <w:t>the Digital Transition</w:t>
      </w:r>
      <w:r w:rsidR="00C04DA6" w:rsidRPr="00A72C2C">
        <w:rPr>
          <w:lang w:val="en-GB"/>
        </w:rPr>
        <w:t>, depend</w:t>
      </w:r>
      <w:r w:rsidR="000A0848" w:rsidRPr="00A72C2C">
        <w:rPr>
          <w:lang w:val="en-GB"/>
        </w:rPr>
        <w:t>ing</w:t>
      </w:r>
      <w:r w:rsidR="00C04DA6" w:rsidRPr="00A72C2C">
        <w:rPr>
          <w:lang w:val="en-GB"/>
        </w:rPr>
        <w:t xml:space="preserve"> on whether accessibility </w:t>
      </w:r>
      <w:r w:rsidR="00103BF2" w:rsidRPr="00A72C2C">
        <w:rPr>
          <w:lang w:val="en-GB"/>
        </w:rPr>
        <w:t xml:space="preserve">of information technology </w:t>
      </w:r>
      <w:r w:rsidR="00C04DA6" w:rsidRPr="00A72C2C">
        <w:rPr>
          <w:lang w:val="en-GB"/>
        </w:rPr>
        <w:t>is ensured, can either contribute to the inclusion of visually impaired people or, on the contrary, further exclude the</w:t>
      </w:r>
      <w:r w:rsidR="008D1C14" w:rsidRPr="00A72C2C">
        <w:rPr>
          <w:lang w:val="en-GB"/>
        </w:rPr>
        <w:t>m</w:t>
      </w:r>
      <w:r w:rsidR="00480A5C" w:rsidRPr="00A72C2C">
        <w:rPr>
          <w:lang w:val="en-GB"/>
        </w:rPr>
        <w:t xml:space="preserve">—possibly even </w:t>
      </w:r>
      <w:r w:rsidR="006C0A3D" w:rsidRPr="00A72C2C">
        <w:rPr>
          <w:lang w:val="en-GB"/>
        </w:rPr>
        <w:t xml:space="preserve">discriminate </w:t>
      </w:r>
      <w:proofErr w:type="gramStart"/>
      <w:r w:rsidR="006C0A3D" w:rsidRPr="00A72C2C">
        <w:rPr>
          <w:lang w:val="en-GB"/>
        </w:rPr>
        <w:t>them, if</w:t>
      </w:r>
      <w:proofErr w:type="gramEnd"/>
      <w:r w:rsidR="006C0A3D" w:rsidRPr="00A72C2C">
        <w:rPr>
          <w:lang w:val="en-GB"/>
        </w:rPr>
        <w:t xml:space="preserve"> one thinks for </w:t>
      </w:r>
      <w:r w:rsidR="006C0A3D" w:rsidRPr="00A72C2C">
        <w:rPr>
          <w:lang w:val="en-GB"/>
        </w:rPr>
        <w:lastRenderedPageBreak/>
        <w:t xml:space="preserve">example of </w:t>
      </w:r>
      <w:r w:rsidR="00832575" w:rsidRPr="00A72C2C">
        <w:rPr>
          <w:lang w:val="en-GB"/>
        </w:rPr>
        <w:t>the possibilities of artificial intelligence</w:t>
      </w:r>
      <w:r w:rsidR="008D1C14" w:rsidRPr="00A72C2C">
        <w:rPr>
          <w:lang w:val="en-GB"/>
        </w:rPr>
        <w:t>. We regret however that the Act</w:t>
      </w:r>
      <w:r w:rsidR="00C4170F">
        <w:rPr>
          <w:lang w:val="en-GB"/>
        </w:rPr>
        <w:t xml:space="preserve"> </w:t>
      </w:r>
      <w:r w:rsidRPr="009B4795">
        <w:rPr>
          <w:lang w:val="en-GB"/>
        </w:rPr>
        <w:t xml:space="preserve">does not address the need of blind and partially sighted </w:t>
      </w:r>
      <w:r w:rsidR="00B16FC3">
        <w:rPr>
          <w:lang w:val="en-GB"/>
        </w:rPr>
        <w:t xml:space="preserve">people </w:t>
      </w:r>
      <w:r w:rsidR="00B16FC3" w:rsidRPr="000A786E">
        <w:rPr>
          <w:lang w:val="en-GB"/>
        </w:rPr>
        <w:t xml:space="preserve">to be able to access information </w:t>
      </w:r>
      <w:r w:rsidRPr="000A786E">
        <w:rPr>
          <w:lang w:val="en-GB"/>
        </w:rPr>
        <w:t>in the physical world</w:t>
      </w:r>
      <w:r w:rsidR="00B16FC3" w:rsidRPr="000A786E">
        <w:rPr>
          <w:lang w:val="en-GB"/>
        </w:rPr>
        <w:t xml:space="preserve">, be it through Braille </w:t>
      </w:r>
      <w:r w:rsidR="00FE4B78" w:rsidRPr="000A786E">
        <w:rPr>
          <w:lang w:val="en-GB"/>
        </w:rPr>
        <w:t>marking or other accessibility solutions</w:t>
      </w:r>
      <w:r w:rsidRPr="009B4795">
        <w:rPr>
          <w:lang w:val="en-GB"/>
        </w:rPr>
        <w:t xml:space="preserve">. </w:t>
      </w:r>
      <w:r w:rsidR="00380E52">
        <w:rPr>
          <w:lang w:val="en-GB"/>
        </w:rPr>
        <w:t xml:space="preserve">Moreover, the Act </w:t>
      </w:r>
      <w:r w:rsidR="000713C4">
        <w:rPr>
          <w:lang w:val="en-GB"/>
        </w:rPr>
        <w:t>focuses on a few selected sectors</w:t>
      </w:r>
      <w:r w:rsidR="00275C8E">
        <w:rPr>
          <w:lang w:val="en-GB"/>
        </w:rPr>
        <w:t>, leaving out</w:t>
      </w:r>
      <w:r w:rsidR="00104BA3" w:rsidRPr="00104BA3">
        <w:rPr>
          <w:lang w:val="en-GB"/>
        </w:rPr>
        <w:t xml:space="preserve"> </w:t>
      </w:r>
      <w:r w:rsidR="00104BA3">
        <w:rPr>
          <w:lang w:val="en-GB"/>
        </w:rPr>
        <w:t xml:space="preserve">areas which are crucial to the autonomy of visually impaired </w:t>
      </w:r>
      <w:r w:rsidR="0087783B">
        <w:rPr>
          <w:lang w:val="en-GB"/>
        </w:rPr>
        <w:t>people.</w:t>
      </w:r>
    </w:p>
    <w:p w14:paraId="3433962C" w14:textId="319D386C" w:rsidR="00FF3B5D" w:rsidRDefault="00C842AF" w:rsidP="0087783B">
      <w:pPr>
        <w:rPr>
          <w:lang w:val="en-GB"/>
        </w:rPr>
      </w:pPr>
      <w:r w:rsidRPr="009B4795">
        <w:rPr>
          <w:lang w:val="en-GB"/>
        </w:rPr>
        <w:t xml:space="preserve">We </w:t>
      </w:r>
      <w:r w:rsidR="00CC277D">
        <w:rPr>
          <w:lang w:val="en-GB"/>
        </w:rPr>
        <w:t>expect the new Assembly</w:t>
      </w:r>
      <w:r w:rsidRPr="009B4795">
        <w:rPr>
          <w:lang w:val="en-GB"/>
        </w:rPr>
        <w:t xml:space="preserve"> to </w:t>
      </w:r>
      <w:r w:rsidR="00CC277D">
        <w:rPr>
          <w:lang w:val="en-GB"/>
        </w:rPr>
        <w:t>promote</w:t>
      </w:r>
      <w:r w:rsidRPr="009B4795">
        <w:rPr>
          <w:lang w:val="en-GB"/>
        </w:rPr>
        <w:t xml:space="preserve"> legislative initiatives to </w:t>
      </w:r>
      <w:r w:rsidR="008555F7">
        <w:rPr>
          <w:lang w:val="en-GB"/>
        </w:rPr>
        <w:t>broaden the scope of the Act</w:t>
      </w:r>
      <w:r w:rsidR="004B5C87">
        <w:rPr>
          <w:lang w:val="en-GB"/>
        </w:rPr>
        <w:t>,</w:t>
      </w:r>
      <w:r w:rsidRPr="009B4795">
        <w:rPr>
          <w:lang w:val="en-GB"/>
        </w:rPr>
        <w:t xml:space="preserve"> </w:t>
      </w:r>
      <w:r w:rsidR="00D11AEB" w:rsidRPr="00D11AEB">
        <w:rPr>
          <w:lang w:val="en-GB"/>
        </w:rPr>
        <w:t>to better reflect the daily life needs of blind and partially sighted people. The broadening of the scope includes</w:t>
      </w:r>
      <w:r w:rsidR="00473C11">
        <w:rPr>
          <w:lang w:val="en-GB"/>
        </w:rPr>
        <w:t>:</w:t>
      </w:r>
    </w:p>
    <w:p w14:paraId="6110C304" w14:textId="31F4545C" w:rsidR="00FF6470" w:rsidRPr="002F70C6" w:rsidRDefault="003E1F3A" w:rsidP="0087783B">
      <w:pPr>
        <w:pStyle w:val="Paragraphedeliste"/>
        <w:numPr>
          <w:ilvl w:val="0"/>
          <w:numId w:val="1"/>
        </w:numPr>
        <w:rPr>
          <w:lang w:val="en-GB"/>
        </w:rPr>
      </w:pPr>
      <w:r>
        <w:rPr>
          <w:lang w:val="en-GB"/>
        </w:rPr>
        <w:t>I</w:t>
      </w:r>
      <w:r w:rsidR="00413BCB" w:rsidRPr="001C4FA0">
        <w:rPr>
          <w:lang w:val="en-GB"/>
        </w:rPr>
        <w:t>nformation about the content and composition of</w:t>
      </w:r>
      <w:r w:rsidR="00413BCB" w:rsidRPr="001C4FA0">
        <w:rPr>
          <w:rStyle w:val="Accentuation"/>
          <w:lang w:val="en-GB"/>
        </w:rPr>
        <w:t xml:space="preserve"> food products</w:t>
      </w:r>
      <w:r w:rsidR="009F0ECA">
        <w:rPr>
          <w:lang w:val="en-GB"/>
        </w:rPr>
        <w:t xml:space="preserve">—there is already legislation in place for </w:t>
      </w:r>
      <w:r w:rsidR="00236386">
        <w:rPr>
          <w:lang w:val="en-GB"/>
        </w:rPr>
        <w:t xml:space="preserve">the labelling of </w:t>
      </w:r>
      <w:r w:rsidR="009F0ECA">
        <w:rPr>
          <w:lang w:val="en-GB"/>
        </w:rPr>
        <w:t xml:space="preserve">medicinal products, but </w:t>
      </w:r>
      <w:r w:rsidR="00786B74">
        <w:rPr>
          <w:lang w:val="en-GB"/>
        </w:rPr>
        <w:t xml:space="preserve">not for </w:t>
      </w:r>
      <w:r w:rsidR="004033B5">
        <w:rPr>
          <w:lang w:val="en-GB"/>
        </w:rPr>
        <w:t>informing visually impaired consumer</w:t>
      </w:r>
      <w:r w:rsidR="00754E93">
        <w:rPr>
          <w:lang w:val="en-GB"/>
        </w:rPr>
        <w:t>s</w:t>
      </w:r>
      <w:r w:rsidR="004033B5">
        <w:rPr>
          <w:lang w:val="en-GB"/>
        </w:rPr>
        <w:t xml:space="preserve"> about the</w:t>
      </w:r>
      <w:r w:rsidR="00786B74">
        <w:rPr>
          <w:lang w:val="en-GB"/>
        </w:rPr>
        <w:t xml:space="preserve"> </w:t>
      </w:r>
      <w:r w:rsidR="00AA659C">
        <w:rPr>
          <w:lang w:val="en-GB"/>
        </w:rPr>
        <w:t>very first type of product one needs to buy</w:t>
      </w:r>
      <w:r w:rsidR="0061005C">
        <w:rPr>
          <w:lang w:val="en-GB"/>
        </w:rPr>
        <w:t xml:space="preserve"> in everyday life</w:t>
      </w:r>
      <w:r w:rsidR="00AA659C">
        <w:rPr>
          <w:lang w:val="en-GB"/>
        </w:rPr>
        <w:t>.</w:t>
      </w:r>
    </w:p>
    <w:p w14:paraId="797A3E96" w14:textId="494CCF54" w:rsidR="002C52E6" w:rsidRPr="00503C94" w:rsidRDefault="00FF6470" w:rsidP="0087783B">
      <w:pPr>
        <w:pStyle w:val="Paragraphedeliste"/>
        <w:numPr>
          <w:ilvl w:val="0"/>
          <w:numId w:val="1"/>
        </w:numPr>
        <w:rPr>
          <w:lang w:val="en-GB"/>
        </w:rPr>
      </w:pPr>
      <w:r w:rsidRPr="004F750D">
        <w:rPr>
          <w:rStyle w:val="Accentuation"/>
          <w:lang w:val="en-GB"/>
        </w:rPr>
        <w:t>H</w:t>
      </w:r>
      <w:r w:rsidR="00C842AF" w:rsidRPr="004F750D">
        <w:rPr>
          <w:rStyle w:val="Accentuation"/>
          <w:lang w:val="en-GB"/>
        </w:rPr>
        <w:t>ousehold appliances</w:t>
      </w:r>
      <w:r w:rsidR="008573E3">
        <w:rPr>
          <w:lang w:val="en-GB"/>
        </w:rPr>
        <w:t>—home is supposed to be where one feels more protected</w:t>
      </w:r>
      <w:r w:rsidR="000A5606">
        <w:rPr>
          <w:lang w:val="en-GB"/>
        </w:rPr>
        <w:t xml:space="preserve"> and able, </w:t>
      </w:r>
      <w:r w:rsidR="00BA3EAC">
        <w:rPr>
          <w:lang w:val="en-GB"/>
        </w:rPr>
        <w:t xml:space="preserve">and household appliances are </w:t>
      </w:r>
      <w:r w:rsidR="009C459F">
        <w:rPr>
          <w:lang w:val="en-GB"/>
        </w:rPr>
        <w:t>every-day helpers. Yet</w:t>
      </w:r>
      <w:r w:rsidR="006F31D0">
        <w:rPr>
          <w:lang w:val="en-GB"/>
        </w:rPr>
        <w:t>,</w:t>
      </w:r>
      <w:r w:rsidR="009C459F">
        <w:rPr>
          <w:lang w:val="en-GB"/>
        </w:rPr>
        <w:t xml:space="preserve"> </w:t>
      </w:r>
      <w:r w:rsidR="000A5606">
        <w:rPr>
          <w:lang w:val="en-GB"/>
        </w:rPr>
        <w:t xml:space="preserve">the </w:t>
      </w:r>
      <w:r w:rsidR="00B17CE5">
        <w:rPr>
          <w:lang w:val="en-GB"/>
        </w:rPr>
        <w:t>appearance</w:t>
      </w:r>
      <w:r w:rsidR="000A5606">
        <w:rPr>
          <w:lang w:val="en-GB"/>
        </w:rPr>
        <w:t xml:space="preserve"> of </w:t>
      </w:r>
      <w:r w:rsidR="00B17CE5">
        <w:rPr>
          <w:lang w:val="en-GB"/>
        </w:rPr>
        <w:t xml:space="preserve">non-accessible </w:t>
      </w:r>
      <w:proofErr w:type="gramStart"/>
      <w:r w:rsidR="000A5606">
        <w:rPr>
          <w:lang w:val="en-GB"/>
        </w:rPr>
        <w:t>touch-pad</w:t>
      </w:r>
      <w:proofErr w:type="gramEnd"/>
      <w:r w:rsidR="002E20A6">
        <w:rPr>
          <w:lang w:val="en-GB"/>
        </w:rPr>
        <w:t xml:space="preserve"> directed devices is </w:t>
      </w:r>
      <w:r w:rsidR="00CE023A">
        <w:rPr>
          <w:lang w:val="en-GB"/>
        </w:rPr>
        <w:t>threatening this certainty, making visually impaired people more dependent on others in their own homes.</w:t>
      </w:r>
    </w:p>
    <w:p w14:paraId="504153EA" w14:textId="4ED16F12" w:rsidR="000B0678" w:rsidRPr="00B319DE" w:rsidRDefault="00933EF3" w:rsidP="0087783B">
      <w:pPr>
        <w:rPr>
          <w:lang w:val="en-GB"/>
        </w:rPr>
      </w:pPr>
      <w:r w:rsidRPr="006F1ED9">
        <w:rPr>
          <w:lang w:val="en-GB"/>
        </w:rPr>
        <w:t xml:space="preserve">Looking beyond </w:t>
      </w:r>
      <w:r w:rsidR="00FA6274">
        <w:rPr>
          <w:lang w:val="en-GB"/>
        </w:rPr>
        <w:t>products and services</w:t>
      </w:r>
      <w:r w:rsidR="00593C17">
        <w:rPr>
          <w:lang w:val="en-GB"/>
        </w:rPr>
        <w:t xml:space="preserve"> and persons with disabilities as consumers</w:t>
      </w:r>
      <w:r w:rsidR="006F1ED9">
        <w:rPr>
          <w:lang w:val="en-GB"/>
        </w:rPr>
        <w:t xml:space="preserve">, </w:t>
      </w:r>
      <w:r w:rsidR="001007CF">
        <w:rPr>
          <w:lang w:val="en-GB"/>
        </w:rPr>
        <w:t>so far</w:t>
      </w:r>
      <w:r w:rsidR="00621D62" w:rsidRPr="00621D62">
        <w:rPr>
          <w:lang w:val="en-GB"/>
        </w:rPr>
        <w:t xml:space="preserve"> </w:t>
      </w:r>
      <w:r w:rsidR="006B4D11">
        <w:rPr>
          <w:lang w:val="en-GB"/>
        </w:rPr>
        <w:t xml:space="preserve">there is no EU legislation </w:t>
      </w:r>
      <w:r w:rsidR="00621D62" w:rsidRPr="00621D62">
        <w:rPr>
          <w:lang w:val="en-GB"/>
        </w:rPr>
        <w:t xml:space="preserve">on the accessibility of </w:t>
      </w:r>
      <w:r w:rsidR="00621D62" w:rsidRPr="00AB0E9E">
        <w:rPr>
          <w:rStyle w:val="Accentuation"/>
          <w:lang w:val="en-GB"/>
        </w:rPr>
        <w:t>buildings</w:t>
      </w:r>
      <w:r w:rsidR="00621D62" w:rsidRPr="00621D62">
        <w:rPr>
          <w:lang w:val="en-GB"/>
        </w:rPr>
        <w:t>. The Built Environment legislation under the EU Green Deal for the renovation of buildings and infrastructure provides an opportunity to finally change this.</w:t>
      </w:r>
    </w:p>
    <w:p w14:paraId="212B47CA" w14:textId="535A74D8" w:rsidR="00122E4A" w:rsidRDefault="00043795" w:rsidP="0087783B">
      <w:pPr>
        <w:pStyle w:val="Titre2"/>
      </w:pPr>
      <w:r>
        <w:t>Books</w:t>
      </w:r>
    </w:p>
    <w:p w14:paraId="343FDA48" w14:textId="78E11B14" w:rsidR="00172607" w:rsidRDefault="00E00163" w:rsidP="0087783B">
      <w:pPr>
        <w:rPr>
          <w:lang w:val="en-GB"/>
        </w:rPr>
      </w:pPr>
      <w:r w:rsidRPr="001D31F7">
        <w:rPr>
          <w:lang w:val="en-GB"/>
        </w:rPr>
        <w:t xml:space="preserve">We expect the new Assembly to take interest in the announced evaluation by the European Commission of the EU’s legal framework for the implementation of the </w:t>
      </w:r>
      <w:r w:rsidRPr="001D31F7">
        <w:rPr>
          <w:rStyle w:val="Accentuation"/>
          <w:lang w:val="en-GB"/>
        </w:rPr>
        <w:t>Marrakesh Treaty</w:t>
      </w:r>
      <w:r w:rsidRPr="001D31F7">
        <w:rPr>
          <w:lang w:val="en-GB"/>
        </w:rPr>
        <w:t xml:space="preserve">, evaluation which has started and is likely to be finalised in 2024. Concluded in the framework of the World Intellectual Property Organisation, the Marrakesh Treaty, rather than protect the interests of rights holders, allows authorised entities to </w:t>
      </w:r>
      <w:r w:rsidR="0070243B">
        <w:rPr>
          <w:lang w:val="en-GB"/>
        </w:rPr>
        <w:t xml:space="preserve">produce </w:t>
      </w:r>
      <w:r w:rsidRPr="001D31F7">
        <w:rPr>
          <w:rStyle w:val="Accentuation"/>
          <w:lang w:val="en-GB"/>
        </w:rPr>
        <w:t>accessible-format book</w:t>
      </w:r>
      <w:r w:rsidR="00B65FBD">
        <w:rPr>
          <w:rStyle w:val="Accentuation"/>
          <w:lang w:val="en-GB"/>
        </w:rPr>
        <w:t>s</w:t>
      </w:r>
      <w:r w:rsidRPr="001D31F7">
        <w:rPr>
          <w:rStyle w:val="Accentuation"/>
          <w:lang w:val="en-GB"/>
        </w:rPr>
        <w:t xml:space="preserve"> </w:t>
      </w:r>
      <w:r w:rsidR="00B65FBD" w:rsidRPr="00B65FBD">
        <w:rPr>
          <w:lang w:val="en-GB"/>
        </w:rPr>
        <w:t xml:space="preserve">and </w:t>
      </w:r>
      <w:r w:rsidR="00B65FBD">
        <w:rPr>
          <w:lang w:val="en-GB"/>
        </w:rPr>
        <w:t>to</w:t>
      </w:r>
      <w:r w:rsidR="00B65FBD" w:rsidRPr="00B65FBD">
        <w:rPr>
          <w:lang w:val="en-GB"/>
        </w:rPr>
        <w:t xml:space="preserve"> share them</w:t>
      </w:r>
      <w:r w:rsidR="00B65FBD">
        <w:rPr>
          <w:rStyle w:val="Accentuation"/>
          <w:lang w:val="en-GB"/>
        </w:rPr>
        <w:t xml:space="preserve"> </w:t>
      </w:r>
      <w:r w:rsidRPr="001D31F7">
        <w:rPr>
          <w:lang w:val="en-GB"/>
        </w:rPr>
        <w:t>across national borders in the EU and in the world. This is because only a small portion of all published books in the developed countries, and even less in developing countries, are ever produced in accessible formats - such as braille, large print and audio</w:t>
      </w:r>
      <w:r w:rsidR="000960B8">
        <w:rPr>
          <w:lang w:val="en-GB"/>
        </w:rPr>
        <w:t>, and e-books</w:t>
      </w:r>
      <w:r w:rsidRPr="001D31F7">
        <w:rPr>
          <w:lang w:val="en-GB"/>
        </w:rPr>
        <w:t xml:space="preserve"> – that visually impaired people and print disabled people need for equal reading enjoyment.</w:t>
      </w:r>
    </w:p>
    <w:p w14:paraId="429607B6" w14:textId="236C8CB1" w:rsidR="00E00163" w:rsidRPr="001D31F7" w:rsidRDefault="00587A26" w:rsidP="0087783B">
      <w:pPr>
        <w:rPr>
          <w:lang w:val="en-GB"/>
        </w:rPr>
      </w:pPr>
      <w:r>
        <w:rPr>
          <w:lang w:val="en-GB"/>
        </w:rPr>
        <w:lastRenderedPageBreak/>
        <w:t>T</w:t>
      </w:r>
      <w:r w:rsidR="00172607">
        <w:rPr>
          <w:lang w:val="en-GB"/>
        </w:rPr>
        <w:t>he European Accessibility Act d</w:t>
      </w:r>
      <w:r w:rsidR="00172607" w:rsidRPr="00AE2E37">
        <w:rPr>
          <w:lang w:val="en-GB"/>
        </w:rPr>
        <w:t>oes not undermine the importance of the Marrakesh Treaty, given that it only covers e-books, i.e.</w:t>
      </w:r>
      <w:r>
        <w:rPr>
          <w:lang w:val="en-GB"/>
        </w:rPr>
        <w:t>,</w:t>
      </w:r>
      <w:r w:rsidR="00172607" w:rsidRPr="00AE2E37">
        <w:rPr>
          <w:lang w:val="en-GB"/>
        </w:rPr>
        <w:t xml:space="preserve"> only one of the possible reading solutions that the print-disabled should be able to choose from</w:t>
      </w:r>
      <w:r w:rsidR="00D3545A" w:rsidRPr="00733851">
        <w:rPr>
          <w:lang w:val="en-GB"/>
        </w:rPr>
        <w:t>—Braille</w:t>
      </w:r>
      <w:r w:rsidR="008C7398" w:rsidRPr="00733851">
        <w:rPr>
          <w:lang w:val="en-GB"/>
        </w:rPr>
        <w:t xml:space="preserve">, </w:t>
      </w:r>
      <w:r w:rsidR="00D3545A" w:rsidRPr="00733851">
        <w:rPr>
          <w:lang w:val="en-GB"/>
        </w:rPr>
        <w:t>Daisy</w:t>
      </w:r>
      <w:r w:rsidR="00E144F5" w:rsidRPr="00733851">
        <w:rPr>
          <w:lang w:val="en-GB"/>
        </w:rPr>
        <w:t xml:space="preserve">, </w:t>
      </w:r>
      <w:r w:rsidR="00D3545A" w:rsidRPr="00733851">
        <w:rPr>
          <w:lang w:val="en-GB"/>
        </w:rPr>
        <w:t>audio</w:t>
      </w:r>
      <w:r w:rsidR="00733851" w:rsidRPr="00733851">
        <w:rPr>
          <w:lang w:val="en-GB"/>
        </w:rPr>
        <w:t xml:space="preserve"> etc.</w:t>
      </w:r>
      <w:r w:rsidR="00005939" w:rsidRPr="00733851">
        <w:rPr>
          <w:lang w:val="en-GB"/>
        </w:rPr>
        <w:t>—</w:t>
      </w:r>
      <w:r w:rsidR="00172607" w:rsidRPr="00AE2E37">
        <w:rPr>
          <w:lang w:val="en-GB"/>
        </w:rPr>
        <w:t>depending</w:t>
      </w:r>
      <w:r w:rsidR="00005939">
        <w:rPr>
          <w:lang w:val="en-GB"/>
        </w:rPr>
        <w:t xml:space="preserve"> </w:t>
      </w:r>
      <w:r w:rsidR="00172607" w:rsidRPr="00AE2E37">
        <w:rPr>
          <w:lang w:val="en-GB"/>
        </w:rPr>
        <w:t>on their needs and preferences</w:t>
      </w:r>
      <w:r w:rsidR="00172607">
        <w:rPr>
          <w:lang w:val="en-GB"/>
        </w:rPr>
        <w:t>.</w:t>
      </w:r>
    </w:p>
    <w:p w14:paraId="5A75CF34" w14:textId="068142B0" w:rsidR="002808C5" w:rsidRDefault="00E00163" w:rsidP="0087783B">
      <w:pPr>
        <w:rPr>
          <w:lang w:val="en-GB"/>
        </w:rPr>
      </w:pPr>
      <w:r w:rsidRPr="001D31F7">
        <w:rPr>
          <w:lang w:val="en-GB"/>
        </w:rPr>
        <w:t xml:space="preserve">We call on the European Parliament to support the view that a revised Marrakesh Treaty Directive should </w:t>
      </w:r>
      <w:r w:rsidR="004D0E72">
        <w:rPr>
          <w:lang w:val="en-GB"/>
        </w:rPr>
        <w:t>drop the possibility</w:t>
      </w:r>
      <w:r w:rsidR="00BF4D8B">
        <w:rPr>
          <w:lang w:val="en-GB"/>
        </w:rPr>
        <w:t xml:space="preserve"> for</w:t>
      </w:r>
      <w:r w:rsidRPr="001D31F7">
        <w:rPr>
          <w:lang w:val="en-GB"/>
        </w:rPr>
        <w:t xml:space="preserve"> Member States to opt to implement a </w:t>
      </w:r>
      <w:r w:rsidRPr="001D31F7">
        <w:rPr>
          <w:rStyle w:val="Accentuation"/>
          <w:lang w:val="en-GB"/>
        </w:rPr>
        <w:t>compensation right for rights-holders</w:t>
      </w:r>
      <w:r w:rsidRPr="001D31F7">
        <w:rPr>
          <w:lang w:val="en-GB"/>
        </w:rPr>
        <w:t>, which undermines the aim of the Marrakesh Treaty and is unfair. Why would rights holders need to be compensated for failing to offer accessible-format books in sufficient numbers in the first place?</w:t>
      </w:r>
    </w:p>
    <w:p w14:paraId="549AB34C" w14:textId="60D6CF12" w:rsidR="00043795" w:rsidRDefault="00043795" w:rsidP="0087783B">
      <w:pPr>
        <w:pStyle w:val="Titre2"/>
      </w:pPr>
      <w:r>
        <w:t>Films</w:t>
      </w:r>
    </w:p>
    <w:p w14:paraId="6F0EC28C" w14:textId="77777777" w:rsidR="00E00163" w:rsidRDefault="00E00163" w:rsidP="0087783B">
      <w:pPr>
        <w:rPr>
          <w:lang w:val="en-GB"/>
        </w:rPr>
      </w:pPr>
      <w:r>
        <w:rPr>
          <w:lang w:val="en-GB"/>
        </w:rPr>
        <w:t xml:space="preserve">Ideally, there should be no </w:t>
      </w:r>
      <w:r w:rsidRPr="009605C7">
        <w:rPr>
          <w:rStyle w:val="Accentuation"/>
          <w:lang w:val="en-GB"/>
        </w:rPr>
        <w:t>EU funding</w:t>
      </w:r>
      <w:r>
        <w:rPr>
          <w:lang w:val="en-GB"/>
        </w:rPr>
        <w:t xml:space="preserve"> for products or services that are not accessible for people with disabilities. Pragmatically, in some areas, we argue that, at the very least, EU funding should come with progressively more demanding conditionalities for delivering on accessibility.</w:t>
      </w:r>
    </w:p>
    <w:p w14:paraId="244A6FF8" w14:textId="77777777" w:rsidR="00E00163" w:rsidRPr="003531C2" w:rsidRDefault="00E00163" w:rsidP="0087783B">
      <w:pPr>
        <w:rPr>
          <w:lang w:val="en-GB"/>
        </w:rPr>
      </w:pPr>
      <w:r>
        <w:rPr>
          <w:lang w:val="en-GB"/>
        </w:rPr>
        <w:t>Looking in particular at t</w:t>
      </w:r>
      <w:r w:rsidRPr="003531C2">
        <w:rPr>
          <w:lang w:val="en-GB"/>
        </w:rPr>
        <w:t xml:space="preserve">he </w:t>
      </w:r>
      <w:r w:rsidRPr="003531C2">
        <w:rPr>
          <w:bCs/>
          <w:lang w:val="en-GB"/>
        </w:rPr>
        <w:t>EU funding for the film industry</w:t>
      </w:r>
      <w:r w:rsidRPr="003531C2">
        <w:rPr>
          <w:lang w:val="en-GB"/>
        </w:rPr>
        <w:t xml:space="preserve"> </w:t>
      </w:r>
      <w:r>
        <w:rPr>
          <w:lang w:val="en-GB"/>
        </w:rPr>
        <w:t xml:space="preserve">under the </w:t>
      </w:r>
      <w:r w:rsidRPr="009605C7">
        <w:rPr>
          <w:rStyle w:val="Accentuation"/>
          <w:lang w:val="en-GB"/>
        </w:rPr>
        <w:t>MEDIA strand of the Creative Europe programme</w:t>
      </w:r>
      <w:r>
        <w:rPr>
          <w:lang w:val="en-GB"/>
        </w:rPr>
        <w:t xml:space="preserve">, </w:t>
      </w:r>
      <w:r w:rsidRPr="003531C2">
        <w:rPr>
          <w:lang w:val="en-GB"/>
        </w:rPr>
        <w:t>the EU’s funding instrument for cross-border film productions</w:t>
      </w:r>
      <w:r>
        <w:rPr>
          <w:lang w:val="en-GB"/>
        </w:rPr>
        <w:t xml:space="preserve">, we think the EU should deliver more on promoting inclusion of persons with disabilities, namely by using its financial leverage to emphasise the requirement that films be made </w:t>
      </w:r>
      <w:r w:rsidRPr="009605C7">
        <w:rPr>
          <w:rStyle w:val="Accentuation"/>
          <w:lang w:val="en-GB"/>
        </w:rPr>
        <w:t>accessible films</w:t>
      </w:r>
      <w:r w:rsidRPr="003531C2">
        <w:rPr>
          <w:lang w:val="en-GB"/>
        </w:rPr>
        <w:t xml:space="preserve"> </w:t>
      </w:r>
      <w:r>
        <w:rPr>
          <w:lang w:val="en-GB"/>
        </w:rPr>
        <w:t>for visually impaired people</w:t>
      </w:r>
      <w:r w:rsidRPr="003531C2">
        <w:rPr>
          <w:lang w:val="en-GB"/>
        </w:rPr>
        <w:t xml:space="preserve">, </w:t>
      </w:r>
      <w:r>
        <w:rPr>
          <w:lang w:val="en-GB"/>
        </w:rPr>
        <w:t>as is</w:t>
      </w:r>
      <w:r w:rsidRPr="003531C2">
        <w:rPr>
          <w:lang w:val="en-GB"/>
        </w:rPr>
        <w:t xml:space="preserve"> observed </w:t>
      </w:r>
      <w:r>
        <w:rPr>
          <w:lang w:val="en-GB"/>
        </w:rPr>
        <w:t xml:space="preserve">at national level </w:t>
      </w:r>
      <w:r w:rsidRPr="003531C2">
        <w:rPr>
          <w:lang w:val="en-GB"/>
        </w:rPr>
        <w:t>in some EU countries.</w:t>
      </w:r>
    </w:p>
    <w:p w14:paraId="0AED7CA8" w14:textId="29DDDAB2" w:rsidR="0073146E" w:rsidRDefault="00E00163" w:rsidP="0087783B">
      <w:pPr>
        <w:rPr>
          <w:lang w:val="en-GB"/>
        </w:rPr>
      </w:pPr>
      <w:r w:rsidRPr="00A86DFA">
        <w:rPr>
          <w:lang w:val="en-GB"/>
        </w:rPr>
        <w:t>In the context of the mid-term review of the Creative Europe Programme Regulation for 2021-2027,</w:t>
      </w:r>
      <w:r>
        <w:rPr>
          <w:lang w:val="en-GB"/>
        </w:rPr>
        <w:t xml:space="preserve"> w</w:t>
      </w:r>
      <w:r w:rsidRPr="003531C2">
        <w:rPr>
          <w:lang w:val="en-GB"/>
        </w:rPr>
        <w:t xml:space="preserve">e </w:t>
      </w:r>
      <w:r>
        <w:rPr>
          <w:lang w:val="en-GB"/>
        </w:rPr>
        <w:t>expect the new Assembly</w:t>
      </w:r>
      <w:r w:rsidRPr="003531C2">
        <w:rPr>
          <w:lang w:val="en-GB"/>
        </w:rPr>
        <w:t xml:space="preserve"> to</w:t>
      </w:r>
      <w:r>
        <w:rPr>
          <w:lang w:val="en-GB"/>
        </w:rPr>
        <w:t xml:space="preserve"> press the European Commission</w:t>
      </w:r>
      <w:r w:rsidRPr="003531C2">
        <w:rPr>
          <w:lang w:val="en-GB"/>
        </w:rPr>
        <w:t xml:space="preserve"> </w:t>
      </w:r>
      <w:r>
        <w:rPr>
          <w:lang w:val="en-GB"/>
        </w:rPr>
        <w:t>to introduce progressively more demanding</w:t>
      </w:r>
      <w:r w:rsidRPr="003531C2">
        <w:rPr>
          <w:lang w:val="en-GB"/>
        </w:rPr>
        <w:t xml:space="preserve"> </w:t>
      </w:r>
      <w:r w:rsidRPr="009605C7">
        <w:rPr>
          <w:rStyle w:val="Accentuation"/>
          <w:lang w:val="en-GB"/>
        </w:rPr>
        <w:t>audio-description and audio subtitling</w:t>
      </w:r>
      <w:r w:rsidRPr="003531C2">
        <w:rPr>
          <w:lang w:val="en-GB"/>
        </w:rPr>
        <w:t xml:space="preserve"> </w:t>
      </w:r>
      <w:r>
        <w:rPr>
          <w:lang w:val="en-GB"/>
        </w:rPr>
        <w:t xml:space="preserve">conditionalities </w:t>
      </w:r>
      <w:r w:rsidRPr="003531C2">
        <w:rPr>
          <w:lang w:val="en-GB"/>
        </w:rPr>
        <w:t xml:space="preserve">for </w:t>
      </w:r>
      <w:r>
        <w:rPr>
          <w:lang w:val="en-GB"/>
        </w:rPr>
        <w:t xml:space="preserve">MEDIA </w:t>
      </w:r>
      <w:r w:rsidRPr="003531C2">
        <w:rPr>
          <w:lang w:val="en-GB"/>
        </w:rPr>
        <w:t>support,</w:t>
      </w:r>
      <w:r>
        <w:rPr>
          <w:lang w:val="en-GB"/>
        </w:rPr>
        <w:t xml:space="preserve"> with benchmarking of progress </w:t>
      </w:r>
      <w:r w:rsidRPr="001C4FA0">
        <w:rPr>
          <w:lang w:val="en-GB"/>
        </w:rPr>
        <w:t>and that, for the period 2021-2027, a target be set of at least 25% of films that receive MEDIA production or distribution funding have an audio description and audio subtitling in the languages of the production</w:t>
      </w:r>
      <w:r w:rsidRPr="003531C2">
        <w:rPr>
          <w:lang w:val="en-GB"/>
        </w:rPr>
        <w:t>.</w:t>
      </w:r>
    </w:p>
    <w:p w14:paraId="7224CA7A" w14:textId="77777777" w:rsidR="00AF48AE" w:rsidRPr="003E292B" w:rsidRDefault="00AF48AE" w:rsidP="0087783B">
      <w:pPr>
        <w:pStyle w:val="Titre1"/>
      </w:pPr>
      <w:r w:rsidRPr="003E292B">
        <w:t>Web Accessibility</w:t>
      </w:r>
    </w:p>
    <w:p w14:paraId="0878909A" w14:textId="77777777" w:rsidR="00AF48AE" w:rsidRPr="003E2CE2" w:rsidRDefault="00AF48AE" w:rsidP="0087783B">
      <w:pPr>
        <w:rPr>
          <w:lang w:val="en-GB"/>
        </w:rPr>
      </w:pPr>
      <w:r w:rsidRPr="003E2CE2">
        <w:rPr>
          <w:lang w:val="en-GB"/>
        </w:rPr>
        <w:t xml:space="preserve">The 2016 </w:t>
      </w:r>
      <w:r>
        <w:rPr>
          <w:lang w:val="en-GB"/>
        </w:rPr>
        <w:t xml:space="preserve">EU </w:t>
      </w:r>
      <w:r w:rsidRPr="003E2CE2">
        <w:rPr>
          <w:lang w:val="en-GB"/>
        </w:rPr>
        <w:t xml:space="preserve">Web Accessibility Directive does not apply to the </w:t>
      </w:r>
      <w:r w:rsidRPr="009605C7">
        <w:rPr>
          <w:rStyle w:val="Accentuation"/>
          <w:lang w:val="en-GB"/>
        </w:rPr>
        <w:t>websites and mobile applications of EU institutions</w:t>
      </w:r>
      <w:r w:rsidRPr="003E2CE2">
        <w:rPr>
          <w:lang w:val="en-GB"/>
        </w:rPr>
        <w:t>. While the importance in volume and languages of the information that they publish justifies extra-</w:t>
      </w:r>
      <w:r w:rsidRPr="003E2CE2">
        <w:rPr>
          <w:lang w:val="en-GB"/>
        </w:rPr>
        <w:lastRenderedPageBreak/>
        <w:t xml:space="preserve">time to adapt, EU institutions should nevertheless make every effort to put in practice what </w:t>
      </w:r>
      <w:r>
        <w:rPr>
          <w:lang w:val="en-GB"/>
        </w:rPr>
        <w:t>EU law</w:t>
      </w:r>
      <w:r w:rsidRPr="003E2CE2">
        <w:rPr>
          <w:lang w:val="en-GB"/>
        </w:rPr>
        <w:t xml:space="preserve"> require</w:t>
      </w:r>
      <w:r>
        <w:rPr>
          <w:lang w:val="en-GB"/>
        </w:rPr>
        <w:t>s</w:t>
      </w:r>
      <w:r w:rsidRPr="003E2CE2">
        <w:rPr>
          <w:lang w:val="en-GB"/>
        </w:rPr>
        <w:t xml:space="preserve"> from Member States.</w:t>
      </w:r>
    </w:p>
    <w:p w14:paraId="38D01EF9" w14:textId="0E0088F1" w:rsidR="00764B14" w:rsidRPr="00122E4A" w:rsidRDefault="00AF48AE" w:rsidP="0087783B">
      <w:pPr>
        <w:rPr>
          <w:lang w:val="en-GB"/>
        </w:rPr>
      </w:pPr>
      <w:r w:rsidRPr="003E2CE2">
        <w:rPr>
          <w:lang w:val="en-GB"/>
        </w:rPr>
        <w:t xml:space="preserve">We expect the </w:t>
      </w:r>
      <w:r>
        <w:rPr>
          <w:lang w:val="en-GB"/>
        </w:rPr>
        <w:t>new Assembly</w:t>
      </w:r>
      <w:r w:rsidRPr="003E2CE2">
        <w:rPr>
          <w:lang w:val="en-GB"/>
        </w:rPr>
        <w:t xml:space="preserve"> to </w:t>
      </w:r>
      <w:r>
        <w:rPr>
          <w:lang w:val="en-GB"/>
        </w:rPr>
        <w:t xml:space="preserve">press the European Parliament as such to </w:t>
      </w:r>
      <w:r w:rsidRPr="003E2CE2">
        <w:rPr>
          <w:lang w:val="en-GB"/>
        </w:rPr>
        <w:t xml:space="preserve">set the example </w:t>
      </w:r>
      <w:r>
        <w:rPr>
          <w:lang w:val="en-GB"/>
        </w:rPr>
        <w:t xml:space="preserve">for its own information and communications online, with </w:t>
      </w:r>
      <w:r w:rsidRPr="009605C7">
        <w:rPr>
          <w:rStyle w:val="Accentuation"/>
          <w:lang w:val="en-GB"/>
        </w:rPr>
        <w:t>publicly available benchmarking of progress</w:t>
      </w:r>
      <w:r>
        <w:rPr>
          <w:lang w:val="en-GB"/>
        </w:rPr>
        <w:t>, and to use its influence to promote the same from the other EU institutions.</w:t>
      </w:r>
    </w:p>
    <w:p w14:paraId="284227DD" w14:textId="594E4BD4" w:rsidR="003349E9" w:rsidRPr="006809D3" w:rsidRDefault="00764B14" w:rsidP="0087783B">
      <w:pPr>
        <w:pStyle w:val="Titre1"/>
      </w:pPr>
      <w:r w:rsidRPr="00764B14">
        <w:t>Safe m</w:t>
      </w:r>
      <w:r w:rsidR="003349E9" w:rsidRPr="00764B14">
        <w:t>obility</w:t>
      </w:r>
    </w:p>
    <w:p w14:paraId="6DD7AB14" w14:textId="77777777" w:rsidR="006F7305" w:rsidRPr="001C4FA0" w:rsidRDefault="00CF7895" w:rsidP="0087783B">
      <w:pPr>
        <w:rPr>
          <w:lang w:val="en-GB"/>
        </w:rPr>
      </w:pPr>
      <w:r w:rsidRPr="001C4FA0">
        <w:rPr>
          <w:lang w:val="en-GB"/>
        </w:rPr>
        <w:t>We also expect the new Assembly to</w:t>
      </w:r>
      <w:r w:rsidR="006F7305" w:rsidRPr="001C4FA0">
        <w:rPr>
          <w:lang w:val="en-GB"/>
        </w:rPr>
        <w:t>:</w:t>
      </w:r>
    </w:p>
    <w:p w14:paraId="02FD09A7" w14:textId="322F36EF" w:rsidR="00447937" w:rsidRPr="001C4FA0" w:rsidRDefault="00447937" w:rsidP="0087783B">
      <w:pPr>
        <w:pStyle w:val="Paragraphedeliste"/>
        <w:numPr>
          <w:ilvl w:val="0"/>
          <w:numId w:val="7"/>
        </w:numPr>
        <w:rPr>
          <w:lang w:val="en-GB"/>
        </w:rPr>
      </w:pPr>
      <w:r w:rsidRPr="001C4FA0">
        <w:rPr>
          <w:lang w:val="en-GB"/>
        </w:rPr>
        <w:t xml:space="preserve">Address the </w:t>
      </w:r>
      <w:r w:rsidR="0086643F" w:rsidRPr="001C4FA0">
        <w:rPr>
          <w:lang w:val="en-GB"/>
        </w:rPr>
        <w:t>insufficiencies</w:t>
      </w:r>
      <w:r w:rsidRPr="001C4FA0">
        <w:rPr>
          <w:lang w:val="en-GB"/>
        </w:rPr>
        <w:t xml:space="preserve"> of EU legislation </w:t>
      </w:r>
      <w:r w:rsidR="00F71A0E" w:rsidRPr="001C4FA0">
        <w:rPr>
          <w:lang w:val="en-GB"/>
        </w:rPr>
        <w:t xml:space="preserve">concerning </w:t>
      </w:r>
      <w:r w:rsidR="00C46498" w:rsidRPr="001C4FA0">
        <w:rPr>
          <w:lang w:val="en-GB"/>
        </w:rPr>
        <w:t xml:space="preserve">an </w:t>
      </w:r>
      <w:r w:rsidR="00F71A0E" w:rsidRPr="001C4FA0">
        <w:rPr>
          <w:lang w:val="en-GB"/>
        </w:rPr>
        <w:t xml:space="preserve">acoustic vehicle </w:t>
      </w:r>
      <w:r w:rsidR="0048688B" w:rsidRPr="001C4FA0">
        <w:rPr>
          <w:lang w:val="en-GB"/>
        </w:rPr>
        <w:t>alerting system (AVAS)</w:t>
      </w:r>
      <w:r w:rsidR="0086643F" w:rsidRPr="001C4FA0">
        <w:rPr>
          <w:lang w:val="en-GB"/>
        </w:rPr>
        <w:t xml:space="preserve"> electric and hybrid</w:t>
      </w:r>
      <w:r w:rsidR="001057A1" w:rsidRPr="001C4FA0">
        <w:rPr>
          <w:lang w:val="en-GB"/>
        </w:rPr>
        <w:t xml:space="preserve">, i.e., </w:t>
      </w:r>
      <w:r w:rsidR="001057A1" w:rsidRPr="001C4FA0">
        <w:rPr>
          <w:rStyle w:val="Accentuation"/>
          <w:lang w:val="en-GB"/>
        </w:rPr>
        <w:t>silent</w:t>
      </w:r>
      <w:r w:rsidR="0086643F" w:rsidRPr="001C4FA0">
        <w:rPr>
          <w:rStyle w:val="Accentuation"/>
          <w:lang w:val="en-GB"/>
        </w:rPr>
        <w:t xml:space="preserve"> vehicles</w:t>
      </w:r>
      <w:r w:rsidR="002B632C" w:rsidRPr="001C4FA0">
        <w:rPr>
          <w:lang w:val="en-GB"/>
        </w:rPr>
        <w:t xml:space="preserve">, </w:t>
      </w:r>
      <w:r w:rsidR="00173310" w:rsidRPr="001C4FA0">
        <w:rPr>
          <w:lang w:val="en-GB"/>
        </w:rPr>
        <w:t xml:space="preserve">namely: </w:t>
      </w:r>
      <w:r w:rsidR="00E321A0" w:rsidRPr="001C4FA0">
        <w:rPr>
          <w:lang w:val="en-GB"/>
        </w:rPr>
        <w:t xml:space="preserve">adequate </w:t>
      </w:r>
      <w:r w:rsidR="00AC300F" w:rsidRPr="001C4FA0">
        <w:rPr>
          <w:lang w:val="en-GB"/>
        </w:rPr>
        <w:t xml:space="preserve">sound </w:t>
      </w:r>
      <w:r w:rsidR="00A35DA2" w:rsidRPr="001C4FA0">
        <w:rPr>
          <w:lang w:val="en-GB"/>
        </w:rPr>
        <w:t xml:space="preserve">type and level, </w:t>
      </w:r>
      <w:r w:rsidR="00AC300F" w:rsidRPr="001C4FA0">
        <w:rPr>
          <w:lang w:val="en-GB"/>
        </w:rPr>
        <w:t xml:space="preserve">and </w:t>
      </w:r>
      <w:r w:rsidR="00E321A0" w:rsidRPr="001C4FA0">
        <w:rPr>
          <w:lang w:val="en-GB"/>
        </w:rPr>
        <w:t>speed up to which it is activated</w:t>
      </w:r>
      <w:r w:rsidR="00A35DA2" w:rsidRPr="001C4FA0">
        <w:rPr>
          <w:lang w:val="en-GB"/>
        </w:rPr>
        <w:t>;</w:t>
      </w:r>
      <w:r w:rsidR="002D7D86" w:rsidRPr="001C4FA0">
        <w:rPr>
          <w:lang w:val="en-GB"/>
        </w:rPr>
        <w:t xml:space="preserve"> </w:t>
      </w:r>
      <w:r w:rsidR="00942141">
        <w:rPr>
          <w:lang w:val="en-GB"/>
        </w:rPr>
        <w:t xml:space="preserve">and </w:t>
      </w:r>
      <w:r w:rsidR="002D7D86" w:rsidRPr="001C4FA0">
        <w:rPr>
          <w:lang w:val="en-GB"/>
        </w:rPr>
        <w:t>extended material scope, to cover also</w:t>
      </w:r>
      <w:r w:rsidR="00403CD5" w:rsidRPr="001C4FA0">
        <w:rPr>
          <w:lang w:val="en-GB"/>
        </w:rPr>
        <w:t xml:space="preserve"> electric motorcycles or scooters</w:t>
      </w:r>
      <w:r w:rsidR="002D7D86" w:rsidRPr="001C4FA0">
        <w:rPr>
          <w:lang w:val="en-GB"/>
        </w:rPr>
        <w:t>.</w:t>
      </w:r>
    </w:p>
    <w:p w14:paraId="3F22B186" w14:textId="0A4E9028" w:rsidR="00CF7895" w:rsidRPr="001C4FA0" w:rsidRDefault="006F7305" w:rsidP="0087783B">
      <w:pPr>
        <w:pStyle w:val="Paragraphedeliste"/>
        <w:numPr>
          <w:ilvl w:val="0"/>
          <w:numId w:val="7"/>
        </w:numPr>
        <w:rPr>
          <w:lang w:val="en-GB"/>
        </w:rPr>
      </w:pPr>
      <w:r w:rsidRPr="001C4FA0">
        <w:rPr>
          <w:lang w:val="en-GB"/>
        </w:rPr>
        <w:t xml:space="preserve">Be mindful of </w:t>
      </w:r>
      <w:r w:rsidR="006A79B0" w:rsidRPr="001C4FA0">
        <w:rPr>
          <w:lang w:val="en-GB"/>
        </w:rPr>
        <w:t>the need to take into account</w:t>
      </w:r>
      <w:r w:rsidR="004F07FC" w:rsidRPr="001C4FA0">
        <w:rPr>
          <w:lang w:val="en-GB"/>
        </w:rPr>
        <w:t>, early on,</w:t>
      </w:r>
      <w:r w:rsidR="006A79B0" w:rsidRPr="001C4FA0">
        <w:rPr>
          <w:lang w:val="en-GB"/>
        </w:rPr>
        <w:t xml:space="preserve"> the needs of blind and partially sighted people in leg</w:t>
      </w:r>
      <w:r w:rsidR="00646826" w:rsidRPr="001C4FA0">
        <w:rPr>
          <w:lang w:val="en-GB"/>
        </w:rPr>
        <w:t xml:space="preserve">al developments around </w:t>
      </w:r>
      <w:r w:rsidR="009169D6" w:rsidRPr="001C4FA0">
        <w:rPr>
          <w:lang w:val="en-GB"/>
        </w:rPr>
        <w:t xml:space="preserve">connected and autonomous, </w:t>
      </w:r>
      <w:proofErr w:type="gramStart"/>
      <w:r w:rsidR="009169D6" w:rsidRPr="001C4FA0">
        <w:rPr>
          <w:lang w:val="en-GB"/>
        </w:rPr>
        <w:t>i.e.</w:t>
      </w:r>
      <w:proofErr w:type="gramEnd"/>
      <w:r w:rsidR="009169D6" w:rsidRPr="001C4FA0">
        <w:rPr>
          <w:lang w:val="en-GB"/>
        </w:rPr>
        <w:t xml:space="preserve"> </w:t>
      </w:r>
      <w:r w:rsidR="00646826" w:rsidRPr="001C4FA0">
        <w:rPr>
          <w:rStyle w:val="Accentuation"/>
          <w:lang w:val="en-GB"/>
        </w:rPr>
        <w:t>driverless vehicles</w:t>
      </w:r>
      <w:r w:rsidR="009169D6" w:rsidRPr="001C4FA0">
        <w:rPr>
          <w:lang w:val="en-GB"/>
        </w:rPr>
        <w:t xml:space="preserve">, both as vulnerable pedestrians and </w:t>
      </w:r>
      <w:r w:rsidR="006211E9" w:rsidRPr="001C4FA0">
        <w:rPr>
          <w:lang w:val="en-GB"/>
        </w:rPr>
        <w:t>as users (particularly in public transport)</w:t>
      </w:r>
      <w:r w:rsidR="00E71FEB" w:rsidRPr="001C4FA0">
        <w:rPr>
          <w:lang w:val="en-GB"/>
        </w:rPr>
        <w:t>.</w:t>
      </w:r>
    </w:p>
    <w:p w14:paraId="5078D513" w14:textId="5BB875DA" w:rsidR="00E71FEB" w:rsidRDefault="00447937" w:rsidP="0087783B">
      <w:pPr>
        <w:pStyle w:val="Paragraphedeliste"/>
        <w:numPr>
          <w:ilvl w:val="0"/>
          <w:numId w:val="7"/>
        </w:numPr>
        <w:rPr>
          <w:lang w:val="en-GB"/>
        </w:rPr>
      </w:pPr>
      <w:r w:rsidRPr="001C4FA0">
        <w:rPr>
          <w:lang w:val="en-GB"/>
        </w:rPr>
        <w:t>U</w:t>
      </w:r>
      <w:r w:rsidR="00E71FEB" w:rsidRPr="001C4FA0">
        <w:rPr>
          <w:lang w:val="en-GB"/>
        </w:rPr>
        <w:t>se its influence</w:t>
      </w:r>
      <w:r w:rsidR="00786192" w:rsidRPr="001C4FA0">
        <w:rPr>
          <w:lang w:val="en-GB"/>
        </w:rPr>
        <w:t>, including through structural funds, to promote best practices</w:t>
      </w:r>
      <w:r w:rsidR="004F07FC" w:rsidRPr="001C4FA0">
        <w:rPr>
          <w:lang w:val="en-GB"/>
        </w:rPr>
        <w:t xml:space="preserve"> in ensuring</w:t>
      </w:r>
      <w:r w:rsidR="002A4275" w:rsidRPr="001C4FA0">
        <w:rPr>
          <w:lang w:val="en-GB"/>
        </w:rPr>
        <w:t xml:space="preserve"> road safety for visually impaired pedestrians </w:t>
      </w:r>
      <w:r w:rsidR="001253FE" w:rsidRPr="001C4FA0">
        <w:rPr>
          <w:lang w:val="en-GB"/>
        </w:rPr>
        <w:t xml:space="preserve">in respect of the development of </w:t>
      </w:r>
      <w:r w:rsidR="001253FE" w:rsidRPr="001C4FA0">
        <w:rPr>
          <w:rStyle w:val="Accentuation"/>
          <w:lang w:val="en-GB"/>
        </w:rPr>
        <w:t xml:space="preserve">new forms of </w:t>
      </w:r>
      <w:r w:rsidR="00FA06AE" w:rsidRPr="001C4FA0">
        <w:rPr>
          <w:rStyle w:val="Accentuation"/>
          <w:lang w:val="en-GB"/>
        </w:rPr>
        <w:t xml:space="preserve">urban </w:t>
      </w:r>
      <w:r w:rsidR="001253FE" w:rsidRPr="001C4FA0">
        <w:rPr>
          <w:rStyle w:val="Accentuation"/>
          <w:lang w:val="en-GB"/>
        </w:rPr>
        <w:t>mobility</w:t>
      </w:r>
      <w:r w:rsidR="001253FE" w:rsidRPr="001C4FA0">
        <w:rPr>
          <w:lang w:val="en-GB"/>
        </w:rPr>
        <w:t xml:space="preserve"> (</w:t>
      </w:r>
      <w:r w:rsidR="0065057B" w:rsidRPr="001C4FA0">
        <w:rPr>
          <w:lang w:val="en-GB"/>
        </w:rPr>
        <w:t>bicycles, scooters</w:t>
      </w:r>
      <w:r w:rsidR="00AC01A1" w:rsidRPr="001C4FA0">
        <w:rPr>
          <w:lang w:val="en-GB"/>
        </w:rPr>
        <w:t xml:space="preserve">, </w:t>
      </w:r>
      <w:r w:rsidR="002D7D86" w:rsidRPr="001C4FA0">
        <w:rPr>
          <w:lang w:val="en-GB"/>
        </w:rPr>
        <w:t>segways</w:t>
      </w:r>
      <w:r w:rsidR="00AC01A1" w:rsidRPr="001C4FA0">
        <w:rPr>
          <w:lang w:val="en-GB"/>
        </w:rPr>
        <w:t xml:space="preserve"> etc.)</w:t>
      </w:r>
      <w:r w:rsidR="000C7329">
        <w:rPr>
          <w:lang w:val="en-GB"/>
        </w:rPr>
        <w:t>.</w:t>
      </w:r>
    </w:p>
    <w:p w14:paraId="301B061C" w14:textId="77777777" w:rsidR="000C7329" w:rsidRPr="00171315" w:rsidRDefault="000C7329" w:rsidP="0087783B">
      <w:pPr>
        <w:pStyle w:val="Titre1"/>
      </w:pPr>
      <w:r w:rsidRPr="00F26F2B">
        <w:t>Employment</w:t>
      </w:r>
    </w:p>
    <w:p w14:paraId="17C63AB0" w14:textId="77777777" w:rsidR="000C7329" w:rsidRPr="001C4FA0" w:rsidRDefault="000C7329" w:rsidP="0087783B">
      <w:pPr>
        <w:rPr>
          <w:lang w:val="en-GB"/>
        </w:rPr>
      </w:pPr>
      <w:r w:rsidRPr="001C4FA0">
        <w:rPr>
          <w:lang w:val="en-GB"/>
        </w:rPr>
        <w:t xml:space="preserve">The European Disability Forum’s 2022 Human Rights report, “Right to </w:t>
      </w:r>
      <w:proofErr w:type="gramStart"/>
      <w:r w:rsidRPr="001C4FA0">
        <w:rPr>
          <w:lang w:val="en-GB"/>
        </w:rPr>
        <w:t>Work“</w:t>
      </w:r>
      <w:proofErr w:type="gramEnd"/>
      <w:r w:rsidRPr="001C4FA0">
        <w:rPr>
          <w:lang w:val="en-GB"/>
        </w:rPr>
        <w:t>, released on 27 April 2023, points at the clear difference in employment rates of persons with disabilities and without disabilities – the “</w:t>
      </w:r>
      <w:r w:rsidRPr="001C4FA0">
        <w:rPr>
          <w:rStyle w:val="Accentuation"/>
          <w:lang w:val="en-GB"/>
        </w:rPr>
        <w:t>disability employment gap</w:t>
      </w:r>
      <w:r w:rsidRPr="001C4FA0">
        <w:rPr>
          <w:lang w:val="en-GB"/>
        </w:rPr>
        <w:t xml:space="preserve">”. The EU average is 24.4 percentage points (with wide differences between countries). Moreover, only 51.3% of active, working-age persons with disabilities in the EU are in paid employment, and this figure comes down at 47.4% for </w:t>
      </w:r>
      <w:r w:rsidRPr="001C4FA0">
        <w:rPr>
          <w:rStyle w:val="Accentuation"/>
          <w:lang w:val="en-GB"/>
        </w:rPr>
        <w:t>young people with disabilities</w:t>
      </w:r>
      <w:r w:rsidRPr="001C4FA0">
        <w:rPr>
          <w:lang w:val="en-GB"/>
        </w:rPr>
        <w:t xml:space="preserve">; and when they are paid, people with disabilities still earn considerably less, even though they need more income to face the additional costs of living in a discriminatory and inaccessible society. </w:t>
      </w:r>
    </w:p>
    <w:p w14:paraId="2AC63599" w14:textId="77777777" w:rsidR="000C7329" w:rsidRPr="001C4FA0" w:rsidRDefault="000C7329" w:rsidP="0087783B">
      <w:pPr>
        <w:rPr>
          <w:lang w:val="en-GB"/>
        </w:rPr>
      </w:pPr>
      <w:r w:rsidRPr="001C4FA0">
        <w:rPr>
          <w:lang w:val="en-GB"/>
        </w:rPr>
        <w:t>One of the reasons found for this situation in the report is something already described in the EU Disability Rights Strategy 2021-2030: the lack of</w:t>
      </w:r>
      <w:r w:rsidRPr="001C4FA0">
        <w:rPr>
          <w:rStyle w:val="Accentuation"/>
          <w:lang w:val="en-GB"/>
        </w:rPr>
        <w:t xml:space="preserve"> quality vocational education that is inclusive</w:t>
      </w:r>
      <w:r w:rsidRPr="001C4FA0">
        <w:rPr>
          <w:lang w:val="en-GB"/>
        </w:rPr>
        <w:t xml:space="preserve">, i.e., accessible </w:t>
      </w:r>
      <w:r w:rsidRPr="001C4FA0">
        <w:rPr>
          <w:lang w:val="en-GB"/>
        </w:rPr>
        <w:lastRenderedPageBreak/>
        <w:t>and offering reasonable accommodation and support to learners with disabilities.</w:t>
      </w:r>
    </w:p>
    <w:p w14:paraId="3B986146" w14:textId="11030940" w:rsidR="000C7329" w:rsidRPr="000C7329" w:rsidRDefault="000C7329" w:rsidP="0087783B">
      <w:pPr>
        <w:rPr>
          <w:lang w:val="en-GB"/>
        </w:rPr>
      </w:pPr>
      <w:r w:rsidRPr="001C4FA0">
        <w:rPr>
          <w:lang w:val="en-GB"/>
        </w:rPr>
        <w:t>We expect the new Assembly to incite Member States to ensure that mainstream vocational education and training programmes are inclusive and accessible for persons with disabilities to facilitate their transition to the open labour market, and to make the EU participate in that effort through its funding.</w:t>
      </w:r>
    </w:p>
    <w:p w14:paraId="06313AAA" w14:textId="0D21D1E5" w:rsidR="008B439D" w:rsidRPr="00FA6E03" w:rsidRDefault="004B1E95" w:rsidP="0087783B">
      <w:pPr>
        <w:pStyle w:val="Titre1"/>
      </w:pPr>
      <w:r w:rsidRPr="000C7329">
        <w:t>S</w:t>
      </w:r>
      <w:r w:rsidR="008653C9" w:rsidRPr="000C7329">
        <w:t xml:space="preserve">ocial </w:t>
      </w:r>
      <w:r w:rsidR="00286F41" w:rsidRPr="000C7329">
        <w:t>benefits</w:t>
      </w:r>
    </w:p>
    <w:p w14:paraId="391913EA" w14:textId="69AA6D39" w:rsidR="00D35F7C" w:rsidRDefault="00F211CC" w:rsidP="0087783B">
      <w:pPr>
        <w:rPr>
          <w:lang w:val="en-GB"/>
        </w:rPr>
      </w:pPr>
      <w:r>
        <w:rPr>
          <w:lang w:val="en-GB"/>
        </w:rPr>
        <w:t>As pointed out in the recent</w:t>
      </w:r>
      <w:r w:rsidR="00D35F7C" w:rsidRPr="00D35F7C">
        <w:rPr>
          <w:lang w:val="en-GB"/>
        </w:rPr>
        <w:t xml:space="preserve"> </w:t>
      </w:r>
      <w:r w:rsidR="00D35F7C" w:rsidRPr="00D378F6">
        <w:rPr>
          <w:lang w:val="en-GB"/>
        </w:rPr>
        <w:t>E</w:t>
      </w:r>
      <w:r w:rsidRPr="00D378F6">
        <w:rPr>
          <w:lang w:val="en-GB"/>
        </w:rPr>
        <w:t xml:space="preserve">uropean </w:t>
      </w:r>
      <w:r w:rsidR="00D35F7C" w:rsidRPr="00D378F6">
        <w:rPr>
          <w:lang w:val="en-GB"/>
        </w:rPr>
        <w:t>S</w:t>
      </w:r>
      <w:r w:rsidRPr="00D378F6">
        <w:rPr>
          <w:lang w:val="en-GB"/>
        </w:rPr>
        <w:t xml:space="preserve">ocial </w:t>
      </w:r>
      <w:r w:rsidR="005F4DF7" w:rsidRPr="00D378F6">
        <w:rPr>
          <w:lang w:val="en-GB"/>
        </w:rPr>
        <w:t>Policy</w:t>
      </w:r>
      <w:r w:rsidRPr="00D378F6">
        <w:rPr>
          <w:lang w:val="en-GB"/>
        </w:rPr>
        <w:t xml:space="preserve"> </w:t>
      </w:r>
      <w:r w:rsidR="00D35F7C" w:rsidRPr="00D378F6">
        <w:rPr>
          <w:lang w:val="en-GB"/>
        </w:rPr>
        <w:t>N</w:t>
      </w:r>
      <w:r w:rsidRPr="00D378F6">
        <w:rPr>
          <w:lang w:val="en-GB"/>
        </w:rPr>
        <w:t>etwork</w:t>
      </w:r>
      <w:r w:rsidR="00D35F7C" w:rsidRPr="00D35F7C">
        <w:rPr>
          <w:lang w:val="en-GB"/>
        </w:rPr>
        <w:t xml:space="preserve"> study</w:t>
      </w:r>
      <w:r>
        <w:rPr>
          <w:lang w:val="en-GB"/>
        </w:rPr>
        <w:t xml:space="preserve"> for the European Commission, t</w:t>
      </w:r>
      <w:r w:rsidR="00D35F7C" w:rsidRPr="00D35F7C">
        <w:rPr>
          <w:lang w:val="en-GB"/>
        </w:rPr>
        <w:t xml:space="preserve">here is currently no reliable and comparable </w:t>
      </w:r>
      <w:r w:rsidR="00D35F7C" w:rsidRPr="008F5880">
        <w:rPr>
          <w:lang w:val="en-GB"/>
        </w:rPr>
        <w:t>data at EU level on the</w:t>
      </w:r>
      <w:r w:rsidR="00D35F7C" w:rsidRPr="00E26919">
        <w:rPr>
          <w:b/>
          <w:bCs/>
          <w:lang w:val="en-GB"/>
        </w:rPr>
        <w:t xml:space="preserve"> </w:t>
      </w:r>
      <w:r w:rsidR="00D35F7C" w:rsidRPr="00911C68">
        <w:rPr>
          <w:lang w:val="en-GB"/>
        </w:rPr>
        <w:t>additional costs of living for people with disabilities</w:t>
      </w:r>
      <w:r w:rsidR="00D35F7C" w:rsidRPr="00D35F7C">
        <w:rPr>
          <w:lang w:val="en-GB"/>
        </w:rPr>
        <w:t xml:space="preserve">. This is particularly </w:t>
      </w:r>
      <w:r w:rsidR="006C1BD0">
        <w:rPr>
          <w:lang w:val="en-GB"/>
        </w:rPr>
        <w:t>necessary</w:t>
      </w:r>
      <w:r w:rsidR="00D35F7C" w:rsidRPr="00D35F7C">
        <w:rPr>
          <w:lang w:val="en-GB"/>
        </w:rPr>
        <w:t xml:space="preserve"> </w:t>
      </w:r>
      <w:r w:rsidR="001A5411" w:rsidRPr="001A5411">
        <w:rPr>
          <w:lang w:val="en-GB"/>
        </w:rPr>
        <w:t>as a matter of addressing inequality between those on the same income with and without a disability (“</w:t>
      </w:r>
      <w:r w:rsidR="001A5411" w:rsidRPr="00CD07E6">
        <w:rPr>
          <w:rStyle w:val="Accentuation"/>
          <w:lang w:val="en-GB"/>
        </w:rPr>
        <w:t>horizontal inequality</w:t>
      </w:r>
      <w:r w:rsidR="001A5411" w:rsidRPr="001A5411">
        <w:rPr>
          <w:lang w:val="en-GB"/>
        </w:rPr>
        <w:t>”).</w:t>
      </w:r>
    </w:p>
    <w:p w14:paraId="70A4D972" w14:textId="17F5D7CD" w:rsidR="00C75DBF" w:rsidRDefault="00D35F7C" w:rsidP="0087783B">
      <w:pPr>
        <w:rPr>
          <w:lang w:val="en-GB"/>
        </w:rPr>
      </w:pPr>
      <w:r w:rsidRPr="00D35F7C">
        <w:rPr>
          <w:lang w:val="en-GB"/>
        </w:rPr>
        <w:t xml:space="preserve">We </w:t>
      </w:r>
      <w:r w:rsidR="00500AE2">
        <w:rPr>
          <w:lang w:val="en-GB"/>
        </w:rPr>
        <w:t>expect the new Assembly</w:t>
      </w:r>
      <w:r w:rsidRPr="00D35F7C">
        <w:rPr>
          <w:lang w:val="en-GB"/>
        </w:rPr>
        <w:t xml:space="preserve"> to </w:t>
      </w:r>
      <w:r w:rsidR="005271FE">
        <w:rPr>
          <w:lang w:val="en-GB"/>
        </w:rPr>
        <w:t>incite</w:t>
      </w:r>
      <w:r w:rsidRPr="005271FE">
        <w:rPr>
          <w:lang w:val="en-GB"/>
        </w:rPr>
        <w:t xml:space="preserve"> </w:t>
      </w:r>
      <w:r w:rsidR="00030E58" w:rsidRPr="005271FE">
        <w:rPr>
          <w:lang w:val="en-GB"/>
        </w:rPr>
        <w:t xml:space="preserve">the European Commission and </w:t>
      </w:r>
      <w:r w:rsidRPr="005271FE">
        <w:rPr>
          <w:lang w:val="en-GB"/>
        </w:rPr>
        <w:t>Member States</w:t>
      </w:r>
      <w:r w:rsidRPr="00D35F7C">
        <w:rPr>
          <w:lang w:val="en-GB"/>
        </w:rPr>
        <w:t xml:space="preserve"> to gather such </w:t>
      </w:r>
      <w:r w:rsidRPr="009605C7">
        <w:rPr>
          <w:rStyle w:val="Accentuation"/>
          <w:lang w:val="en-GB"/>
        </w:rPr>
        <w:t>data and evidence</w:t>
      </w:r>
      <w:r w:rsidR="00500AE2">
        <w:rPr>
          <w:lang w:val="en-GB"/>
        </w:rPr>
        <w:t>,</w:t>
      </w:r>
      <w:r w:rsidRPr="00D35F7C">
        <w:rPr>
          <w:lang w:val="en-GB"/>
        </w:rPr>
        <w:t xml:space="preserve"> </w:t>
      </w:r>
      <w:r w:rsidR="00BF519F">
        <w:rPr>
          <w:lang w:val="en-GB"/>
        </w:rPr>
        <w:t>which</w:t>
      </w:r>
      <w:r w:rsidRPr="00D35F7C">
        <w:rPr>
          <w:lang w:val="en-GB"/>
        </w:rPr>
        <w:t xml:space="preserve"> should be </w:t>
      </w:r>
      <w:r w:rsidRPr="009605C7">
        <w:rPr>
          <w:lang w:val="en-GB"/>
        </w:rPr>
        <w:t>disaggregated</w:t>
      </w:r>
      <w:r w:rsidRPr="00802952">
        <w:rPr>
          <w:b/>
          <w:bCs/>
          <w:lang w:val="en-GB"/>
        </w:rPr>
        <w:t xml:space="preserve"> </w:t>
      </w:r>
      <w:r w:rsidRPr="009605C7">
        <w:rPr>
          <w:rStyle w:val="Accentuation"/>
          <w:lang w:val="en-GB"/>
        </w:rPr>
        <w:t>by type of disability</w:t>
      </w:r>
      <w:r w:rsidRPr="00D35F7C">
        <w:rPr>
          <w:lang w:val="en-GB"/>
        </w:rPr>
        <w:t>.</w:t>
      </w:r>
    </w:p>
    <w:p w14:paraId="06BDD958" w14:textId="36951D99" w:rsidR="004554D5" w:rsidRDefault="00AA7339" w:rsidP="0087783B">
      <w:pPr>
        <w:rPr>
          <w:lang w:val="en-GB"/>
        </w:rPr>
      </w:pPr>
      <w:r>
        <w:rPr>
          <w:lang w:val="en-GB"/>
        </w:rPr>
        <w:t>W</w:t>
      </w:r>
      <w:r w:rsidR="00FB7AAB">
        <w:rPr>
          <w:lang w:val="en-GB"/>
        </w:rPr>
        <w:t xml:space="preserve">e also expect the new Assembly </w:t>
      </w:r>
      <w:r w:rsidR="004B1E95">
        <w:rPr>
          <w:lang w:val="en-GB"/>
        </w:rPr>
        <w:t>to</w:t>
      </w:r>
      <w:r w:rsidR="00B52736">
        <w:rPr>
          <w:lang w:val="en-GB"/>
        </w:rPr>
        <w:t xml:space="preserve"> </w:t>
      </w:r>
      <w:r w:rsidR="00B52736" w:rsidRPr="00031ACA">
        <w:rPr>
          <w:lang w:val="en-GB"/>
        </w:rPr>
        <w:t>promote</w:t>
      </w:r>
      <w:r w:rsidR="004B1E95" w:rsidRPr="00031ACA">
        <w:rPr>
          <w:lang w:val="en-GB"/>
        </w:rPr>
        <w:t xml:space="preserve"> </w:t>
      </w:r>
      <w:r w:rsidR="00F42932">
        <w:rPr>
          <w:lang w:val="en-GB"/>
        </w:rPr>
        <w:t>the exchange of best practices</w:t>
      </w:r>
      <w:r w:rsidR="00FE1E1A">
        <w:rPr>
          <w:lang w:val="en-GB"/>
        </w:rPr>
        <w:t xml:space="preserve">, so that, </w:t>
      </w:r>
      <w:r w:rsidR="00F730C1">
        <w:rPr>
          <w:lang w:val="en-GB"/>
        </w:rPr>
        <w:t>i</w:t>
      </w:r>
      <w:r w:rsidR="00FE1E1A" w:rsidRPr="005A1E25">
        <w:rPr>
          <w:lang w:val="en-GB"/>
        </w:rPr>
        <w:t xml:space="preserve">n their social protection schemes, </w:t>
      </w:r>
      <w:r w:rsidR="00F730C1">
        <w:rPr>
          <w:lang w:val="en-GB"/>
        </w:rPr>
        <w:t xml:space="preserve">Member States </w:t>
      </w:r>
      <w:r w:rsidR="00FE1E1A" w:rsidRPr="005A1E25">
        <w:rPr>
          <w:lang w:val="en-GB"/>
        </w:rPr>
        <w:t xml:space="preserve">factor in the additional costs of living associated with disability through needs-based mechanisms which are not means-tested, nor </w:t>
      </w:r>
      <w:r w:rsidR="004A6BF2">
        <w:rPr>
          <w:lang w:val="en-GB"/>
        </w:rPr>
        <w:t xml:space="preserve">based </w:t>
      </w:r>
      <w:r w:rsidR="00FE1E1A" w:rsidRPr="005A1E25">
        <w:rPr>
          <w:lang w:val="en-GB"/>
        </w:rPr>
        <w:t>on the income of others within their household (</w:t>
      </w:r>
      <w:r w:rsidR="004A6BF2">
        <w:rPr>
          <w:lang w:val="en-GB"/>
        </w:rPr>
        <w:t>“</w:t>
      </w:r>
      <w:r w:rsidR="00FE1E1A" w:rsidRPr="009605C7">
        <w:rPr>
          <w:rStyle w:val="Accentuation"/>
          <w:lang w:val="en-GB"/>
        </w:rPr>
        <w:t>individualisation of rights</w:t>
      </w:r>
      <w:r w:rsidR="004A6BF2">
        <w:rPr>
          <w:lang w:val="en-GB"/>
        </w:rPr>
        <w:t>”</w:t>
      </w:r>
      <w:r w:rsidR="00FE1E1A" w:rsidRPr="005A1E25">
        <w:rPr>
          <w:lang w:val="en-GB"/>
        </w:rPr>
        <w:t>)</w:t>
      </w:r>
      <w:r w:rsidR="00C76B13">
        <w:rPr>
          <w:lang w:val="en-GB"/>
        </w:rPr>
        <w:t xml:space="preserve"> and </w:t>
      </w:r>
      <w:r w:rsidR="00960DF2" w:rsidRPr="00C76B13">
        <w:rPr>
          <w:lang w:val="en-GB"/>
        </w:rPr>
        <w:t>persons with disabilities can maintain disability-related support when accessing paid-work.</w:t>
      </w:r>
    </w:p>
    <w:p w14:paraId="0472D040" w14:textId="3223E771" w:rsidR="00874417" w:rsidRPr="006809D3" w:rsidRDefault="00326BEA" w:rsidP="0087783B">
      <w:pPr>
        <w:pStyle w:val="Titre1"/>
      </w:pPr>
      <w:r w:rsidRPr="00866101">
        <w:t>External Action of the EU</w:t>
      </w:r>
    </w:p>
    <w:p w14:paraId="5AD33CCF" w14:textId="2276F05A" w:rsidR="0044397D" w:rsidRPr="0044397D" w:rsidRDefault="0044397D" w:rsidP="0087783B">
      <w:pPr>
        <w:rPr>
          <w:lang w:val="en-GB"/>
        </w:rPr>
      </w:pPr>
      <w:r w:rsidRPr="0044397D">
        <w:rPr>
          <w:lang w:val="en-GB"/>
        </w:rPr>
        <w:t xml:space="preserve">The </w:t>
      </w:r>
      <w:r w:rsidRPr="009605C7">
        <w:rPr>
          <w:rStyle w:val="Accentuation"/>
          <w:lang w:val="en-GB"/>
        </w:rPr>
        <w:t>EU Instrument for Pre-Accession Assistance</w:t>
      </w:r>
      <w:r w:rsidRPr="0044397D">
        <w:rPr>
          <w:b/>
          <w:bCs/>
          <w:lang w:val="en-GB"/>
        </w:rPr>
        <w:t xml:space="preserve"> </w:t>
      </w:r>
      <w:r w:rsidRPr="0044397D">
        <w:rPr>
          <w:lang w:val="en-GB"/>
        </w:rPr>
        <w:t xml:space="preserve">and </w:t>
      </w:r>
      <w:r w:rsidR="00E2349C" w:rsidRPr="00E2349C">
        <w:rPr>
          <w:lang w:val="en-GB"/>
        </w:rPr>
        <w:t>the</w:t>
      </w:r>
      <w:r w:rsidR="00E2349C">
        <w:rPr>
          <w:b/>
          <w:bCs/>
          <w:lang w:val="en-GB"/>
        </w:rPr>
        <w:t xml:space="preserve"> </w:t>
      </w:r>
      <w:r w:rsidRPr="009605C7">
        <w:rPr>
          <w:rStyle w:val="Accentuation"/>
          <w:lang w:val="en-GB"/>
        </w:rPr>
        <w:t>Eastern Partnership</w:t>
      </w:r>
      <w:r w:rsidRPr="0044397D">
        <w:rPr>
          <w:lang w:val="en-GB"/>
        </w:rPr>
        <w:t xml:space="preserve"> should address inclusion and disability-related concerns,</w:t>
      </w:r>
      <w:r w:rsidR="008E7850">
        <w:rPr>
          <w:lang w:val="en-GB"/>
        </w:rPr>
        <w:t xml:space="preserve"> and the implementatio</w:t>
      </w:r>
      <w:r w:rsidR="00E3414A">
        <w:rPr>
          <w:lang w:val="en-GB"/>
        </w:rPr>
        <w:t>n of the UN Convention on the Rights of Persons with Disabilities,</w:t>
      </w:r>
      <w:r w:rsidRPr="0044397D">
        <w:rPr>
          <w:lang w:val="en-GB"/>
        </w:rPr>
        <w:t xml:space="preserve"> to promote best practices in the </w:t>
      </w:r>
      <w:r w:rsidRPr="009605C7">
        <w:rPr>
          <w:rStyle w:val="Accentuation"/>
          <w:lang w:val="en-GB"/>
        </w:rPr>
        <w:t>wider Europe</w:t>
      </w:r>
      <w:r w:rsidRPr="0044397D">
        <w:rPr>
          <w:lang w:val="en-GB"/>
        </w:rPr>
        <w:t>.</w:t>
      </w:r>
    </w:p>
    <w:p w14:paraId="0AA7EBC1" w14:textId="77777777" w:rsidR="00263D65" w:rsidRDefault="0044397D" w:rsidP="0087783B">
      <w:pPr>
        <w:rPr>
          <w:lang w:val="en-GB"/>
        </w:rPr>
      </w:pPr>
      <w:r w:rsidRPr="0044397D">
        <w:rPr>
          <w:lang w:val="en-GB"/>
        </w:rPr>
        <w:t xml:space="preserve">We </w:t>
      </w:r>
      <w:r>
        <w:rPr>
          <w:lang w:val="en-GB"/>
        </w:rPr>
        <w:t>expect the new Assembly</w:t>
      </w:r>
      <w:r w:rsidRPr="0044397D">
        <w:rPr>
          <w:lang w:val="en-GB"/>
        </w:rPr>
        <w:t xml:space="preserve"> to recommend this.</w:t>
      </w:r>
      <w:r w:rsidR="008E3A7B">
        <w:rPr>
          <w:lang w:val="en-GB"/>
        </w:rPr>
        <w:t xml:space="preserve"> </w:t>
      </w:r>
      <w:r w:rsidR="00F819C6" w:rsidRPr="00851954">
        <w:rPr>
          <w:lang w:val="en-GB"/>
        </w:rPr>
        <w:t xml:space="preserve">We also expect it to </w:t>
      </w:r>
      <w:r w:rsidR="00D54583" w:rsidRPr="00851954">
        <w:rPr>
          <w:lang w:val="en-GB"/>
        </w:rPr>
        <w:t>promote</w:t>
      </w:r>
      <w:r w:rsidR="004E5FFD" w:rsidRPr="00851954">
        <w:rPr>
          <w:lang w:val="en-GB"/>
        </w:rPr>
        <w:t xml:space="preserve"> t</w:t>
      </w:r>
      <w:r w:rsidR="005132DE" w:rsidRPr="00851954">
        <w:rPr>
          <w:lang w:val="en-GB"/>
        </w:rPr>
        <w:t xml:space="preserve">he development and funding of support services for </w:t>
      </w:r>
      <w:r w:rsidR="000F3209" w:rsidRPr="00851954">
        <w:rPr>
          <w:rStyle w:val="Accentuation"/>
          <w:lang w:val="en-GB"/>
        </w:rPr>
        <w:t xml:space="preserve">visually impaired </w:t>
      </w:r>
      <w:r w:rsidR="005132DE" w:rsidRPr="00851954">
        <w:rPr>
          <w:rStyle w:val="Accentuation"/>
          <w:lang w:val="en-GB"/>
        </w:rPr>
        <w:t>asylum-seekers and refugees</w:t>
      </w:r>
      <w:r w:rsidR="005132DE" w:rsidRPr="00851954">
        <w:rPr>
          <w:lang w:val="en-GB"/>
        </w:rPr>
        <w:t xml:space="preserve"> with disabilities in the EU</w:t>
      </w:r>
      <w:r w:rsidR="00016CB2" w:rsidRPr="00851954">
        <w:rPr>
          <w:lang w:val="en-GB"/>
        </w:rPr>
        <w:t xml:space="preserve"> </w:t>
      </w:r>
      <w:r w:rsidR="00E30E83" w:rsidRPr="00851954">
        <w:rPr>
          <w:lang w:val="en-GB"/>
        </w:rPr>
        <w:t>and</w:t>
      </w:r>
      <w:r w:rsidR="004E5FFD" w:rsidRPr="00851954">
        <w:rPr>
          <w:lang w:val="en-GB"/>
        </w:rPr>
        <w:t>, i</w:t>
      </w:r>
      <w:r w:rsidR="00AB06BC" w:rsidRPr="00851954">
        <w:rPr>
          <w:lang w:val="en-GB"/>
        </w:rPr>
        <w:t xml:space="preserve">n the wake of the </w:t>
      </w:r>
      <w:r w:rsidR="009F051D" w:rsidRPr="00851954">
        <w:rPr>
          <w:rStyle w:val="Accentuation"/>
          <w:lang w:val="en-GB"/>
        </w:rPr>
        <w:t>war in Ukraine</w:t>
      </w:r>
      <w:r w:rsidR="00016CB2" w:rsidRPr="00851954">
        <w:rPr>
          <w:lang w:val="en-GB"/>
        </w:rPr>
        <w:t>, s</w:t>
      </w:r>
      <w:r w:rsidR="002E26FA" w:rsidRPr="00851954">
        <w:rPr>
          <w:lang w:val="en-GB"/>
        </w:rPr>
        <w:t xml:space="preserve">upport </w:t>
      </w:r>
      <w:r w:rsidR="006025F7" w:rsidRPr="00851954">
        <w:rPr>
          <w:lang w:val="en-GB"/>
        </w:rPr>
        <w:t xml:space="preserve">to </w:t>
      </w:r>
      <w:r w:rsidR="0088263E" w:rsidRPr="00851954">
        <w:rPr>
          <w:lang w:val="en-GB"/>
        </w:rPr>
        <w:t xml:space="preserve">visually impaired </w:t>
      </w:r>
      <w:r w:rsidR="002E26FA" w:rsidRPr="00851954">
        <w:rPr>
          <w:lang w:val="en-GB"/>
        </w:rPr>
        <w:t>Ukrainians</w:t>
      </w:r>
      <w:r w:rsidR="0088263E" w:rsidRPr="00851954">
        <w:rPr>
          <w:lang w:val="en-GB"/>
        </w:rPr>
        <w:t xml:space="preserve"> </w:t>
      </w:r>
      <w:r w:rsidR="002E26FA" w:rsidRPr="00851954">
        <w:rPr>
          <w:lang w:val="en-GB"/>
        </w:rPr>
        <w:t xml:space="preserve">inside and outside </w:t>
      </w:r>
      <w:r w:rsidR="0088263E" w:rsidRPr="00851954">
        <w:rPr>
          <w:lang w:val="en-GB"/>
        </w:rPr>
        <w:t>of their country</w:t>
      </w:r>
      <w:r w:rsidR="00CE5704" w:rsidRPr="00851954">
        <w:rPr>
          <w:lang w:val="en-GB"/>
        </w:rPr>
        <w:t>.</w:t>
      </w:r>
      <w:r w:rsidR="00433960">
        <w:rPr>
          <w:lang w:val="en-GB"/>
        </w:rPr>
        <w:t xml:space="preserve"> </w:t>
      </w:r>
    </w:p>
    <w:p w14:paraId="18832DFA" w14:textId="434FC05B" w:rsidR="00326BEA" w:rsidRPr="00C82275" w:rsidRDefault="00433960" w:rsidP="00C82275">
      <w:pPr>
        <w:spacing w:before="240" w:after="0"/>
        <w:rPr>
          <w:szCs w:val="22"/>
          <w:lang w:val="en-GB"/>
        </w:rPr>
      </w:pPr>
      <w:r>
        <w:rPr>
          <w:lang w:val="en-GB"/>
        </w:rPr>
        <w:t xml:space="preserve">The EU will also have a major role to play in the </w:t>
      </w:r>
      <w:r w:rsidR="00263D65">
        <w:rPr>
          <w:lang w:val="en-GB"/>
        </w:rPr>
        <w:t xml:space="preserve">negotiations, </w:t>
      </w:r>
      <w:r w:rsidR="00263D65" w:rsidRPr="00413FEA">
        <w:rPr>
          <w:rStyle w:val="Accentuation"/>
          <w:lang w:val="en-GB"/>
        </w:rPr>
        <w:t>at the UN</w:t>
      </w:r>
      <w:r w:rsidR="00263D65">
        <w:rPr>
          <w:lang w:val="en-GB"/>
        </w:rPr>
        <w:t xml:space="preserve">, of the successor framework of the 2030 Agenda for Sustainable </w:t>
      </w:r>
      <w:r w:rsidR="00263D65">
        <w:rPr>
          <w:lang w:val="en-GB"/>
        </w:rPr>
        <w:lastRenderedPageBreak/>
        <w:t>Development. These negotiations can be expected to kick-off in 2027/2028. W</w:t>
      </w:r>
      <w:r w:rsidR="000B1B4C">
        <w:rPr>
          <w:lang w:val="en-GB"/>
        </w:rPr>
        <w:t>e</w:t>
      </w:r>
      <w:r w:rsidR="00263D65">
        <w:rPr>
          <w:lang w:val="en-GB"/>
        </w:rPr>
        <w:t xml:space="preserve"> expect the new Assembly to push for the inclusion of persons with disabilities and their rights as part of the post 2030 global agenda.</w:t>
      </w:r>
    </w:p>
    <w:p w14:paraId="65A89476" w14:textId="2B7B0FA1" w:rsidR="00DE6CD4" w:rsidRPr="00C82275" w:rsidRDefault="00DE6CD4" w:rsidP="00C82275">
      <w:pPr>
        <w:pStyle w:val="Titre2"/>
      </w:pPr>
      <w:r>
        <w:t>Conclusion</w:t>
      </w:r>
    </w:p>
    <w:p w14:paraId="611C8F3C" w14:textId="328A230C" w:rsidR="000B1B4C" w:rsidRDefault="00DE6CD4" w:rsidP="0087783B">
      <w:pPr>
        <w:rPr>
          <w:lang w:val="en-GB"/>
        </w:rPr>
      </w:pPr>
      <w:r>
        <w:rPr>
          <w:lang w:val="en-GB"/>
        </w:rPr>
        <w:t xml:space="preserve">The European Parliament has been a strong ally for the rights of persons with disabilities in Europe for many decades. We count on the new </w:t>
      </w:r>
      <w:r w:rsidR="000B1B4C">
        <w:rPr>
          <w:lang w:val="en-GB"/>
        </w:rPr>
        <w:t>A</w:t>
      </w:r>
      <w:r>
        <w:rPr>
          <w:lang w:val="en-GB"/>
        </w:rPr>
        <w:t xml:space="preserve">ssembly to follow in these footsteps. The five years ahead will offer plenty </w:t>
      </w:r>
      <w:r w:rsidR="000B1B4C">
        <w:rPr>
          <w:lang w:val="en-GB"/>
        </w:rPr>
        <w:t xml:space="preserve">of </w:t>
      </w:r>
      <w:r>
        <w:rPr>
          <w:lang w:val="en-GB"/>
        </w:rPr>
        <w:t xml:space="preserve">opportunities to the </w:t>
      </w:r>
      <w:r w:rsidR="000B1B4C">
        <w:rPr>
          <w:lang w:val="en-GB"/>
        </w:rPr>
        <w:t xml:space="preserve">Parliament </w:t>
      </w:r>
      <w:r>
        <w:rPr>
          <w:lang w:val="en-GB"/>
        </w:rPr>
        <w:t xml:space="preserve">to act for a more inclusive </w:t>
      </w:r>
      <w:r w:rsidR="000B1B4C">
        <w:rPr>
          <w:lang w:val="en-GB"/>
        </w:rPr>
        <w:t>Union</w:t>
      </w:r>
      <w:r>
        <w:rPr>
          <w:lang w:val="en-GB"/>
        </w:rPr>
        <w:t xml:space="preserve">. </w:t>
      </w:r>
      <w:r w:rsidR="00433960">
        <w:rPr>
          <w:lang w:val="en-GB"/>
        </w:rPr>
        <w:t xml:space="preserve">One of the key moments to do so is the 7-year </w:t>
      </w:r>
      <w:r w:rsidR="00433960" w:rsidRPr="006A66C5">
        <w:rPr>
          <w:rStyle w:val="Accentuation"/>
          <w:lang w:val="en-GB"/>
        </w:rPr>
        <w:t>budgetary framework (2028-2034)</w:t>
      </w:r>
      <w:r w:rsidR="00433960">
        <w:rPr>
          <w:lang w:val="en-GB"/>
        </w:rPr>
        <w:t xml:space="preserve">. As co-legislator, the </w:t>
      </w:r>
      <w:r w:rsidR="000B1B4C">
        <w:rPr>
          <w:lang w:val="en-GB"/>
        </w:rPr>
        <w:t xml:space="preserve">Parliament </w:t>
      </w:r>
      <w:r w:rsidR="00433960">
        <w:rPr>
          <w:lang w:val="en-GB"/>
        </w:rPr>
        <w:t>will have the power to ensure that under the new funding instruments, all EU spending is really dedicated to promoting full inclusion of persons with disabilities</w:t>
      </w:r>
      <w:r w:rsidR="003222C9">
        <w:rPr>
          <w:lang w:val="en-GB"/>
        </w:rPr>
        <w:t xml:space="preserve">. </w:t>
      </w:r>
      <w:r w:rsidR="003222C9" w:rsidRPr="0020265D">
        <w:rPr>
          <w:lang w:val="en-GB"/>
        </w:rPr>
        <w:t>Specifically,</w:t>
      </w:r>
      <w:r w:rsidR="0039284F" w:rsidRPr="0020265D">
        <w:rPr>
          <w:lang w:val="en-GB"/>
        </w:rPr>
        <w:t xml:space="preserve"> we would like the EU to invest resources in increasing the</w:t>
      </w:r>
      <w:r w:rsidR="004669A9" w:rsidRPr="0020265D">
        <w:rPr>
          <w:lang w:val="en-GB"/>
        </w:rPr>
        <w:t xml:space="preserve"> knowledge and availability of Braille</w:t>
      </w:r>
      <w:r w:rsidR="004669A9">
        <w:rPr>
          <w:lang w:val="en-GB"/>
        </w:rPr>
        <w:t>.</w:t>
      </w:r>
    </w:p>
    <w:p w14:paraId="441A8938" w14:textId="72A6F8F2" w:rsidR="004D465D" w:rsidRDefault="004D465D" w:rsidP="0087783B">
      <w:pPr>
        <w:rPr>
          <w:lang w:val="en-GB"/>
        </w:rPr>
      </w:pPr>
      <w:r w:rsidRPr="006D3ADE">
        <w:rPr>
          <w:lang w:val="en-GB"/>
        </w:rPr>
        <w:t xml:space="preserve">Also, we ask the political groups at the European Parliament to support the </w:t>
      </w:r>
      <w:r w:rsidR="006D3ADE" w:rsidRPr="006D3ADE">
        <w:rPr>
          <w:lang w:val="en-GB"/>
        </w:rPr>
        <w:t>re-establishment</w:t>
      </w:r>
      <w:r w:rsidRPr="006D3ADE">
        <w:rPr>
          <w:lang w:val="en-GB"/>
        </w:rPr>
        <w:t xml:space="preserve"> of the </w:t>
      </w:r>
      <w:r w:rsidRPr="006D3ADE">
        <w:rPr>
          <w:rStyle w:val="Accentuation"/>
          <w:lang w:val="en-GB"/>
        </w:rPr>
        <w:t>Disability Intergroup</w:t>
      </w:r>
      <w:r w:rsidRPr="006D3ADE">
        <w:rPr>
          <w:lang w:val="en-GB"/>
        </w:rPr>
        <w:t>. This informal cross-country and cross-party grouping of Members of the European Parliament has been a key ally in advocating for and advancing the rights of persons with disabilities in Europe, and in enabling their participation in decisions that concern them. We encourage future MEPs from all countries and political groups who are interested in promoting disability policy in their work at the European Parliament as well as at the national level, to eventually join this intergroup.</w:t>
      </w:r>
    </w:p>
    <w:p w14:paraId="505723D0" w14:textId="3C61F3F7" w:rsidR="005C4AF5" w:rsidRPr="006F0644" w:rsidRDefault="00554447" w:rsidP="0087783B">
      <w:pPr>
        <w:rPr>
          <w:lang w:val="en-GB"/>
        </w:rPr>
      </w:pPr>
      <w:r w:rsidRPr="00554447">
        <w:rPr>
          <w:lang w:val="en-GB"/>
        </w:rPr>
        <w:t xml:space="preserve">In general, as a horizontal matter, we urge policymakers to uphold </w:t>
      </w:r>
      <w:r w:rsidRPr="00110C23">
        <w:rPr>
          <w:rStyle w:val="Accentuation"/>
          <w:lang w:val="en-GB"/>
        </w:rPr>
        <w:t>Braille literacy</w:t>
      </w:r>
      <w:r w:rsidRPr="00554447">
        <w:rPr>
          <w:lang w:val="en-GB"/>
        </w:rPr>
        <w:t xml:space="preserve">, bearing in mind that, contrary to what is sometimes heard, the development of assistive information technologies that give visual impaired people quick access to information through auditory perception, does not undermine its importance. As explained in our </w:t>
      </w:r>
      <w:hyperlink r:id="rId10" w:history="1">
        <w:r w:rsidR="00110C23" w:rsidRPr="00110C23">
          <w:rPr>
            <w:rStyle w:val="Lienhypertexte"/>
            <w:lang w:val="en-GB"/>
          </w:rPr>
          <w:t>Statem</w:t>
        </w:r>
        <w:r w:rsidR="00110C23" w:rsidRPr="00110C23">
          <w:rPr>
            <w:rStyle w:val="Lienhypertexte"/>
            <w:lang w:val="en-GB"/>
          </w:rPr>
          <w:t>e</w:t>
        </w:r>
        <w:r w:rsidR="00110C23" w:rsidRPr="00110C23">
          <w:rPr>
            <w:rStyle w:val="Lienhypertexte"/>
            <w:lang w:val="en-GB"/>
          </w:rPr>
          <w:t>nt</w:t>
        </w:r>
      </w:hyperlink>
      <w:r w:rsidRPr="00554447">
        <w:rPr>
          <w:lang w:val="en-GB"/>
        </w:rPr>
        <w:t xml:space="preserve"> of 202</w:t>
      </w:r>
      <w:r w:rsidR="00C82275">
        <w:rPr>
          <w:lang w:val="en-GB"/>
        </w:rPr>
        <w:t>3</w:t>
      </w:r>
      <w:r w:rsidRPr="00554447">
        <w:rPr>
          <w:lang w:val="en-GB"/>
        </w:rPr>
        <w:t>, Braille is a universal, effective and for many blind people natural accessibility solution and—importantly—a factor of more qualitative education and personal development.</w:t>
      </w:r>
      <w:r w:rsidR="00DE6CD4">
        <w:rPr>
          <w:lang w:val="en-GB"/>
        </w:rPr>
        <w:t xml:space="preserve"> </w:t>
      </w:r>
    </w:p>
    <w:p w14:paraId="6784A1BD" w14:textId="640C5F95" w:rsidR="007A0D91" w:rsidRPr="007A0D91" w:rsidRDefault="007A0D91" w:rsidP="00E524C8">
      <w:pPr>
        <w:spacing w:after="0"/>
        <w:jc w:val="center"/>
        <w:rPr>
          <w:lang w:val="en-GB"/>
        </w:rPr>
      </w:pPr>
      <w:r w:rsidRPr="007A0D91">
        <w:rPr>
          <w:lang w:val="en-GB"/>
        </w:rPr>
        <w:t xml:space="preserve">Contact: Antoine </w:t>
      </w:r>
      <w:proofErr w:type="spellStart"/>
      <w:r w:rsidRPr="007A0D91">
        <w:rPr>
          <w:lang w:val="en-GB"/>
        </w:rPr>
        <w:t>Fobe</w:t>
      </w:r>
      <w:proofErr w:type="spellEnd"/>
      <w:r w:rsidRPr="007A0D91">
        <w:rPr>
          <w:lang w:val="en-GB"/>
        </w:rPr>
        <w:t xml:space="preserve">, Head of </w:t>
      </w:r>
      <w:r>
        <w:rPr>
          <w:lang w:val="en-GB"/>
        </w:rPr>
        <w:t xml:space="preserve">Advocacy and </w:t>
      </w:r>
      <w:r w:rsidRPr="007A0D91">
        <w:rPr>
          <w:lang w:val="en-GB"/>
        </w:rPr>
        <w:t>Campaigning</w:t>
      </w:r>
    </w:p>
    <w:p w14:paraId="663DB017" w14:textId="22721092" w:rsidR="007A0D91" w:rsidRPr="007A0D91" w:rsidRDefault="007A0D91" w:rsidP="00E524C8">
      <w:pPr>
        <w:spacing w:after="0"/>
        <w:jc w:val="center"/>
        <w:rPr>
          <w:lang w:val="en-GB"/>
        </w:rPr>
      </w:pPr>
      <w:r w:rsidRPr="007A0D91">
        <w:rPr>
          <w:lang w:val="en-GB"/>
        </w:rPr>
        <w:t xml:space="preserve">Email: </w:t>
      </w:r>
      <w:hyperlink r:id="rId11" w:history="1">
        <w:r w:rsidRPr="007A0D91">
          <w:rPr>
            <w:color w:val="0563C1"/>
            <w:u w:val="single"/>
            <w:lang w:val="en-GB"/>
          </w:rPr>
          <w:t>ebucampaigning@euroblind.org</w:t>
        </w:r>
      </w:hyperlink>
      <w:r w:rsidRPr="007A0D91">
        <w:rPr>
          <w:lang w:val="en-GB"/>
        </w:rPr>
        <w:t xml:space="preserve"> - Tel: +33 1 </w:t>
      </w:r>
      <w:r w:rsidR="009A6916">
        <w:rPr>
          <w:lang w:val="en-GB"/>
        </w:rPr>
        <w:t>88 61 06 64</w:t>
      </w:r>
    </w:p>
    <w:p w14:paraId="679959CA" w14:textId="77777777" w:rsidR="007A0D91" w:rsidRPr="007A0D91" w:rsidRDefault="00011000" w:rsidP="00E524C8">
      <w:pPr>
        <w:spacing w:after="0"/>
        <w:jc w:val="center"/>
        <w:rPr>
          <w:rFonts w:eastAsia="Times New Roman" w:cs="Times New Roman"/>
          <w:kern w:val="0"/>
          <w:lang w:val="en-GB"/>
          <w14:ligatures w14:val="none"/>
        </w:rPr>
      </w:pPr>
      <w:hyperlink r:id="rId12" w:history="1">
        <w:r w:rsidR="007A0D91" w:rsidRPr="007A0D91">
          <w:rPr>
            <w:rFonts w:eastAsia="Times New Roman" w:cs="Times New Roman"/>
            <w:color w:val="0563C1"/>
            <w:kern w:val="0"/>
            <w:u w:val="single"/>
            <w:lang w:val="en-GB"/>
            <w14:ligatures w14:val="none"/>
          </w:rPr>
          <w:t>www.euroblind.org</w:t>
        </w:r>
      </w:hyperlink>
    </w:p>
    <w:p w14:paraId="3B3BDDD3" w14:textId="4FC50897" w:rsidR="006549EF" w:rsidRPr="006549EF" w:rsidRDefault="007A0D91" w:rsidP="00126825">
      <w:pPr>
        <w:spacing w:after="0"/>
        <w:jc w:val="center"/>
        <w:rPr>
          <w:lang w:val="en-GB"/>
        </w:rPr>
      </w:pPr>
      <w:r w:rsidRPr="007A0D91">
        <w:rPr>
          <w:lang w:val="en-GB"/>
        </w:rPr>
        <w:t>Twitter: @euroblind - Facebook: @EuropeanBlindUnionEBU</w:t>
      </w:r>
    </w:p>
    <w:sectPr w:rsidR="006549EF" w:rsidRPr="006549EF" w:rsidSect="00ED1EA8">
      <w:headerReference w:type="default" r:id="rId13"/>
      <w:footerReference w:type="default" r:id="rId14"/>
      <w:pgSz w:w="11906" w:h="16838"/>
      <w:pgMar w:top="1417" w:right="1417" w:bottom="1417" w:left="1417"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0654" w14:textId="77777777" w:rsidR="00E73281" w:rsidRDefault="00E73281" w:rsidP="00093CEC">
      <w:pPr>
        <w:spacing w:after="0" w:line="240" w:lineRule="auto"/>
      </w:pPr>
      <w:r>
        <w:separator/>
      </w:r>
    </w:p>
  </w:endnote>
  <w:endnote w:type="continuationSeparator" w:id="0">
    <w:p w14:paraId="4C27DFE7" w14:textId="77777777" w:rsidR="00E73281" w:rsidRDefault="00E73281" w:rsidP="00093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937082"/>
      <w:docPartObj>
        <w:docPartGallery w:val="Page Numbers (Bottom of Page)"/>
        <w:docPartUnique/>
      </w:docPartObj>
    </w:sdtPr>
    <w:sdtEndPr/>
    <w:sdtContent>
      <w:p w14:paraId="22675955" w14:textId="17566A04" w:rsidR="00ED1EA8" w:rsidRDefault="00ED1EA8">
        <w:pPr>
          <w:pStyle w:val="Pieddepage"/>
          <w:jc w:val="right"/>
        </w:pPr>
        <w:r>
          <w:fldChar w:fldCharType="begin"/>
        </w:r>
        <w:r>
          <w:instrText>PAGE   \* MERGEFORMAT</w:instrText>
        </w:r>
        <w:r>
          <w:fldChar w:fldCharType="separate"/>
        </w:r>
        <w:r>
          <w:t>2</w:t>
        </w:r>
        <w:r>
          <w:fldChar w:fldCharType="end"/>
        </w:r>
        <w:r>
          <w:t>/8</w:t>
        </w:r>
      </w:p>
    </w:sdtContent>
  </w:sdt>
  <w:p w14:paraId="6BE575B8" w14:textId="77777777" w:rsidR="00ED1EA8" w:rsidRDefault="00ED1E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F9D9" w14:textId="77777777" w:rsidR="00E73281" w:rsidRDefault="00E73281" w:rsidP="00093CEC">
      <w:pPr>
        <w:spacing w:after="0" w:line="240" w:lineRule="auto"/>
      </w:pPr>
      <w:r>
        <w:separator/>
      </w:r>
    </w:p>
  </w:footnote>
  <w:footnote w:type="continuationSeparator" w:id="0">
    <w:p w14:paraId="0633E3F2" w14:textId="77777777" w:rsidR="00E73281" w:rsidRDefault="00E73281" w:rsidP="00093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A20" w14:textId="5F705466" w:rsidR="00093CEC" w:rsidRPr="007E3EA1" w:rsidRDefault="007E3EA1">
    <w:pPr>
      <w:pStyle w:val="En-tte"/>
      <w:rPr>
        <w:sz w:val="24"/>
        <w:szCs w:val="24"/>
        <w:lang w:val="en-GB"/>
      </w:rPr>
    </w:pPr>
    <w:r w:rsidRPr="007E3EA1">
      <w:rPr>
        <w:sz w:val="24"/>
        <w:szCs w:val="24"/>
        <w:lang w:val="en-GB"/>
      </w:rPr>
      <w:t>EBU Statement on the European elections 2024</w:t>
    </w:r>
    <w:r w:rsidR="00E71A0E">
      <w:rPr>
        <w:sz w:val="24"/>
        <w:szCs w:val="24"/>
        <w:lang w:val="en-GB"/>
      </w:rPr>
      <w:t xml:space="preserve"> – </w:t>
    </w:r>
    <w:r w:rsidR="00BA09E7">
      <w:rPr>
        <w:sz w:val="24"/>
        <w:szCs w:val="24"/>
        <w:lang w:val="en-GB"/>
      </w:rPr>
      <w:t>September</w:t>
    </w:r>
    <w:r w:rsidR="00E71A0E">
      <w:rPr>
        <w:sz w:val="24"/>
        <w:szCs w:val="24"/>
        <w:lang w:val="en-GB"/>
      </w:rPr>
      <w:t xml:space="preserve"> 202</w:t>
    </w:r>
    <w:r w:rsidR="00124942">
      <w:rPr>
        <w:sz w:val="24"/>
        <w:szCs w:val="24"/>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D66"/>
    <w:multiLevelType w:val="hybridMultilevel"/>
    <w:tmpl w:val="D06400E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CE2C44"/>
    <w:multiLevelType w:val="hybridMultilevel"/>
    <w:tmpl w:val="F4BEB4CC"/>
    <w:lvl w:ilvl="0" w:tplc="65CA802A">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15:restartNumberingAfterBreak="0">
    <w:nsid w:val="1BC936B4"/>
    <w:multiLevelType w:val="hybridMultilevel"/>
    <w:tmpl w:val="B6A0B39E"/>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3662C"/>
    <w:multiLevelType w:val="multilevel"/>
    <w:tmpl w:val="EA5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786320"/>
    <w:multiLevelType w:val="hybridMultilevel"/>
    <w:tmpl w:val="3800C722"/>
    <w:lvl w:ilvl="0" w:tplc="65CA802A">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5" w15:restartNumberingAfterBreak="0">
    <w:nsid w:val="638106F5"/>
    <w:multiLevelType w:val="hybridMultilevel"/>
    <w:tmpl w:val="3788A7B8"/>
    <w:lvl w:ilvl="0" w:tplc="65CA802A">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6" w15:restartNumberingAfterBreak="0">
    <w:nsid w:val="63FD1F0C"/>
    <w:multiLevelType w:val="hybridMultilevel"/>
    <w:tmpl w:val="AFA85A34"/>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295B4B"/>
    <w:multiLevelType w:val="hybridMultilevel"/>
    <w:tmpl w:val="AAB2F0A0"/>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0225630">
    <w:abstractNumId w:val="1"/>
  </w:num>
  <w:num w:numId="2" w16cid:durableId="185605174">
    <w:abstractNumId w:val="0"/>
  </w:num>
  <w:num w:numId="3" w16cid:durableId="398745830">
    <w:abstractNumId w:val="7"/>
  </w:num>
  <w:num w:numId="4" w16cid:durableId="185486570">
    <w:abstractNumId w:val="2"/>
  </w:num>
  <w:num w:numId="5" w16cid:durableId="1223907105">
    <w:abstractNumId w:val="6"/>
  </w:num>
  <w:num w:numId="6" w16cid:durableId="1917206684">
    <w:abstractNumId w:val="3"/>
  </w:num>
  <w:num w:numId="7" w16cid:durableId="1750418898">
    <w:abstractNumId w:val="4"/>
  </w:num>
  <w:num w:numId="8" w16cid:durableId="1606227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DE"/>
    <w:rsid w:val="00003530"/>
    <w:rsid w:val="00005939"/>
    <w:rsid w:val="00005A9A"/>
    <w:rsid w:val="00005C84"/>
    <w:rsid w:val="000104B4"/>
    <w:rsid w:val="00011000"/>
    <w:rsid w:val="00011E90"/>
    <w:rsid w:val="00012AC3"/>
    <w:rsid w:val="00016CB2"/>
    <w:rsid w:val="00016E70"/>
    <w:rsid w:val="00021E0E"/>
    <w:rsid w:val="00022CC1"/>
    <w:rsid w:val="00026537"/>
    <w:rsid w:val="0002713A"/>
    <w:rsid w:val="00027E62"/>
    <w:rsid w:val="00030E58"/>
    <w:rsid w:val="00031ACA"/>
    <w:rsid w:val="00036073"/>
    <w:rsid w:val="00037D1E"/>
    <w:rsid w:val="000410A9"/>
    <w:rsid w:val="00043795"/>
    <w:rsid w:val="0004426A"/>
    <w:rsid w:val="000467C4"/>
    <w:rsid w:val="000615D1"/>
    <w:rsid w:val="0006320D"/>
    <w:rsid w:val="000636F6"/>
    <w:rsid w:val="000637B3"/>
    <w:rsid w:val="000701FB"/>
    <w:rsid w:val="000713C4"/>
    <w:rsid w:val="00076D0F"/>
    <w:rsid w:val="000801DE"/>
    <w:rsid w:val="00080330"/>
    <w:rsid w:val="000841E6"/>
    <w:rsid w:val="0008501F"/>
    <w:rsid w:val="0009136C"/>
    <w:rsid w:val="00093CEC"/>
    <w:rsid w:val="000955B1"/>
    <w:rsid w:val="000960B8"/>
    <w:rsid w:val="000960F1"/>
    <w:rsid w:val="000A0848"/>
    <w:rsid w:val="000A0EAB"/>
    <w:rsid w:val="000A5455"/>
    <w:rsid w:val="000A5606"/>
    <w:rsid w:val="000A786E"/>
    <w:rsid w:val="000B0678"/>
    <w:rsid w:val="000B0704"/>
    <w:rsid w:val="000B0ABD"/>
    <w:rsid w:val="000B1B4C"/>
    <w:rsid w:val="000C7329"/>
    <w:rsid w:val="000E17A6"/>
    <w:rsid w:val="000E538C"/>
    <w:rsid w:val="000E6DEB"/>
    <w:rsid w:val="000F037C"/>
    <w:rsid w:val="000F3209"/>
    <w:rsid w:val="000F7895"/>
    <w:rsid w:val="001007CF"/>
    <w:rsid w:val="00103BF2"/>
    <w:rsid w:val="001044A3"/>
    <w:rsid w:val="00104BA3"/>
    <w:rsid w:val="001057A1"/>
    <w:rsid w:val="00110C23"/>
    <w:rsid w:val="00110CE8"/>
    <w:rsid w:val="00112CE5"/>
    <w:rsid w:val="00113769"/>
    <w:rsid w:val="00114A4A"/>
    <w:rsid w:val="0011546C"/>
    <w:rsid w:val="001222F3"/>
    <w:rsid w:val="0012234D"/>
    <w:rsid w:val="00122E4A"/>
    <w:rsid w:val="001234C1"/>
    <w:rsid w:val="00124942"/>
    <w:rsid w:val="001253FE"/>
    <w:rsid w:val="00126825"/>
    <w:rsid w:val="00132E7B"/>
    <w:rsid w:val="00134274"/>
    <w:rsid w:val="0014619A"/>
    <w:rsid w:val="001469CC"/>
    <w:rsid w:val="0015629D"/>
    <w:rsid w:val="00156D78"/>
    <w:rsid w:val="00164F8D"/>
    <w:rsid w:val="0016716A"/>
    <w:rsid w:val="00171315"/>
    <w:rsid w:val="0017213F"/>
    <w:rsid w:val="00172607"/>
    <w:rsid w:val="00173310"/>
    <w:rsid w:val="00175A1D"/>
    <w:rsid w:val="00183E7B"/>
    <w:rsid w:val="00185D30"/>
    <w:rsid w:val="00191633"/>
    <w:rsid w:val="001928BC"/>
    <w:rsid w:val="00192AB7"/>
    <w:rsid w:val="00195ED7"/>
    <w:rsid w:val="001A4365"/>
    <w:rsid w:val="001A5411"/>
    <w:rsid w:val="001A741F"/>
    <w:rsid w:val="001B0A2E"/>
    <w:rsid w:val="001B1DA1"/>
    <w:rsid w:val="001B46A6"/>
    <w:rsid w:val="001C4FA0"/>
    <w:rsid w:val="001D27AB"/>
    <w:rsid w:val="001D31F7"/>
    <w:rsid w:val="001D577A"/>
    <w:rsid w:val="001D740C"/>
    <w:rsid w:val="001E59F4"/>
    <w:rsid w:val="001F34EB"/>
    <w:rsid w:val="001F4D8A"/>
    <w:rsid w:val="001F631A"/>
    <w:rsid w:val="00202196"/>
    <w:rsid w:val="0020265D"/>
    <w:rsid w:val="00203A16"/>
    <w:rsid w:val="00204A0B"/>
    <w:rsid w:val="002063BE"/>
    <w:rsid w:val="0021598F"/>
    <w:rsid w:val="00221F8B"/>
    <w:rsid w:val="002279FA"/>
    <w:rsid w:val="00230531"/>
    <w:rsid w:val="0023104D"/>
    <w:rsid w:val="002322A3"/>
    <w:rsid w:val="00232E5D"/>
    <w:rsid w:val="00234767"/>
    <w:rsid w:val="00236386"/>
    <w:rsid w:val="00237AAF"/>
    <w:rsid w:val="00243270"/>
    <w:rsid w:val="0025182D"/>
    <w:rsid w:val="00252D49"/>
    <w:rsid w:val="0025316D"/>
    <w:rsid w:val="00254A1E"/>
    <w:rsid w:val="002606FA"/>
    <w:rsid w:val="00263D65"/>
    <w:rsid w:val="00267A97"/>
    <w:rsid w:val="00275370"/>
    <w:rsid w:val="00275C8E"/>
    <w:rsid w:val="00280321"/>
    <w:rsid w:val="002808C5"/>
    <w:rsid w:val="002820CA"/>
    <w:rsid w:val="00286423"/>
    <w:rsid w:val="00286F41"/>
    <w:rsid w:val="00290714"/>
    <w:rsid w:val="002919BB"/>
    <w:rsid w:val="00297402"/>
    <w:rsid w:val="002A4275"/>
    <w:rsid w:val="002A42FD"/>
    <w:rsid w:val="002A4AD0"/>
    <w:rsid w:val="002B2D9F"/>
    <w:rsid w:val="002B3100"/>
    <w:rsid w:val="002B42E3"/>
    <w:rsid w:val="002B632C"/>
    <w:rsid w:val="002B68F0"/>
    <w:rsid w:val="002B7ACE"/>
    <w:rsid w:val="002C1529"/>
    <w:rsid w:val="002C52E6"/>
    <w:rsid w:val="002C5F70"/>
    <w:rsid w:val="002C705A"/>
    <w:rsid w:val="002D1A5F"/>
    <w:rsid w:val="002D7D86"/>
    <w:rsid w:val="002E114B"/>
    <w:rsid w:val="002E1F49"/>
    <w:rsid w:val="002E20A6"/>
    <w:rsid w:val="002E26FA"/>
    <w:rsid w:val="002F62E0"/>
    <w:rsid w:val="002F70C6"/>
    <w:rsid w:val="00300618"/>
    <w:rsid w:val="003021FA"/>
    <w:rsid w:val="00303AF2"/>
    <w:rsid w:val="00305832"/>
    <w:rsid w:val="00312EEC"/>
    <w:rsid w:val="00320847"/>
    <w:rsid w:val="00321A9F"/>
    <w:rsid w:val="003222C9"/>
    <w:rsid w:val="00324F26"/>
    <w:rsid w:val="00326BEA"/>
    <w:rsid w:val="00332003"/>
    <w:rsid w:val="003349E9"/>
    <w:rsid w:val="003457DA"/>
    <w:rsid w:val="0034755D"/>
    <w:rsid w:val="003531C2"/>
    <w:rsid w:val="003542D2"/>
    <w:rsid w:val="00354911"/>
    <w:rsid w:val="0036431C"/>
    <w:rsid w:val="00372370"/>
    <w:rsid w:val="003802F1"/>
    <w:rsid w:val="00380E52"/>
    <w:rsid w:val="00383DE9"/>
    <w:rsid w:val="00383F0A"/>
    <w:rsid w:val="00390E4F"/>
    <w:rsid w:val="0039284F"/>
    <w:rsid w:val="00393162"/>
    <w:rsid w:val="00393958"/>
    <w:rsid w:val="003A33BA"/>
    <w:rsid w:val="003A54FF"/>
    <w:rsid w:val="003A6BA8"/>
    <w:rsid w:val="003B2584"/>
    <w:rsid w:val="003B2720"/>
    <w:rsid w:val="003C26C1"/>
    <w:rsid w:val="003C4ABD"/>
    <w:rsid w:val="003D0B38"/>
    <w:rsid w:val="003D0C68"/>
    <w:rsid w:val="003D6C21"/>
    <w:rsid w:val="003E1CDF"/>
    <w:rsid w:val="003E1F3A"/>
    <w:rsid w:val="003E292B"/>
    <w:rsid w:val="003E2CE2"/>
    <w:rsid w:val="003E3329"/>
    <w:rsid w:val="003E433C"/>
    <w:rsid w:val="003E7EA2"/>
    <w:rsid w:val="003F0F63"/>
    <w:rsid w:val="003F553B"/>
    <w:rsid w:val="00401B4C"/>
    <w:rsid w:val="004033B5"/>
    <w:rsid w:val="00403CD5"/>
    <w:rsid w:val="00412AF3"/>
    <w:rsid w:val="00413BCB"/>
    <w:rsid w:val="00413FEA"/>
    <w:rsid w:val="00414AE5"/>
    <w:rsid w:val="0041701F"/>
    <w:rsid w:val="00421D89"/>
    <w:rsid w:val="004223F1"/>
    <w:rsid w:val="004243C7"/>
    <w:rsid w:val="004301F1"/>
    <w:rsid w:val="00433960"/>
    <w:rsid w:val="00436D27"/>
    <w:rsid w:val="004410EE"/>
    <w:rsid w:val="0044397D"/>
    <w:rsid w:val="00446EAC"/>
    <w:rsid w:val="0044725B"/>
    <w:rsid w:val="004474E5"/>
    <w:rsid w:val="00447937"/>
    <w:rsid w:val="00452AFA"/>
    <w:rsid w:val="004531B5"/>
    <w:rsid w:val="004554D5"/>
    <w:rsid w:val="00455A2D"/>
    <w:rsid w:val="00456B8C"/>
    <w:rsid w:val="004640A8"/>
    <w:rsid w:val="004669A9"/>
    <w:rsid w:val="0047018F"/>
    <w:rsid w:val="004706E6"/>
    <w:rsid w:val="004739AD"/>
    <w:rsid w:val="00473C11"/>
    <w:rsid w:val="004752B9"/>
    <w:rsid w:val="004803A8"/>
    <w:rsid w:val="00480A5C"/>
    <w:rsid w:val="0048688B"/>
    <w:rsid w:val="004922A2"/>
    <w:rsid w:val="004A4238"/>
    <w:rsid w:val="004A4F0F"/>
    <w:rsid w:val="004A62E1"/>
    <w:rsid w:val="004A6BF2"/>
    <w:rsid w:val="004B0F50"/>
    <w:rsid w:val="004B1E95"/>
    <w:rsid w:val="004B2EDF"/>
    <w:rsid w:val="004B4B7B"/>
    <w:rsid w:val="004B5C87"/>
    <w:rsid w:val="004C55CD"/>
    <w:rsid w:val="004C5FB1"/>
    <w:rsid w:val="004C68D6"/>
    <w:rsid w:val="004D034F"/>
    <w:rsid w:val="004D0E72"/>
    <w:rsid w:val="004D3182"/>
    <w:rsid w:val="004D465D"/>
    <w:rsid w:val="004D7313"/>
    <w:rsid w:val="004E13F1"/>
    <w:rsid w:val="004E5FFD"/>
    <w:rsid w:val="004E6A5C"/>
    <w:rsid w:val="004E6CA6"/>
    <w:rsid w:val="004F07FC"/>
    <w:rsid w:val="004F122B"/>
    <w:rsid w:val="004F4534"/>
    <w:rsid w:val="004F750D"/>
    <w:rsid w:val="00500AE2"/>
    <w:rsid w:val="00503C94"/>
    <w:rsid w:val="005046D4"/>
    <w:rsid w:val="00505281"/>
    <w:rsid w:val="005132DE"/>
    <w:rsid w:val="00514215"/>
    <w:rsid w:val="0051480B"/>
    <w:rsid w:val="005262F5"/>
    <w:rsid w:val="00526519"/>
    <w:rsid w:val="005271FE"/>
    <w:rsid w:val="00527270"/>
    <w:rsid w:val="00527818"/>
    <w:rsid w:val="0053101B"/>
    <w:rsid w:val="0053399A"/>
    <w:rsid w:val="005339FA"/>
    <w:rsid w:val="005417AD"/>
    <w:rsid w:val="005526AE"/>
    <w:rsid w:val="00554447"/>
    <w:rsid w:val="00555FCD"/>
    <w:rsid w:val="0055722A"/>
    <w:rsid w:val="00561DAE"/>
    <w:rsid w:val="0056446A"/>
    <w:rsid w:val="005666EB"/>
    <w:rsid w:val="00567BF6"/>
    <w:rsid w:val="00567FF2"/>
    <w:rsid w:val="00570EA3"/>
    <w:rsid w:val="0057583E"/>
    <w:rsid w:val="00587A26"/>
    <w:rsid w:val="00590FCA"/>
    <w:rsid w:val="00591BAE"/>
    <w:rsid w:val="00593C17"/>
    <w:rsid w:val="005A1E25"/>
    <w:rsid w:val="005A316D"/>
    <w:rsid w:val="005B49BF"/>
    <w:rsid w:val="005B4E67"/>
    <w:rsid w:val="005C020B"/>
    <w:rsid w:val="005C1037"/>
    <w:rsid w:val="005C4AF5"/>
    <w:rsid w:val="005D25EA"/>
    <w:rsid w:val="005D2EF1"/>
    <w:rsid w:val="005E069B"/>
    <w:rsid w:val="005E3554"/>
    <w:rsid w:val="005E3D60"/>
    <w:rsid w:val="005E568C"/>
    <w:rsid w:val="005F4DF7"/>
    <w:rsid w:val="005F6697"/>
    <w:rsid w:val="006008B7"/>
    <w:rsid w:val="006025F7"/>
    <w:rsid w:val="00602D62"/>
    <w:rsid w:val="006037EC"/>
    <w:rsid w:val="0061005C"/>
    <w:rsid w:val="00610A83"/>
    <w:rsid w:val="006211E9"/>
    <w:rsid w:val="00621D62"/>
    <w:rsid w:val="00623023"/>
    <w:rsid w:val="006340C2"/>
    <w:rsid w:val="0064266F"/>
    <w:rsid w:val="00645223"/>
    <w:rsid w:val="00646826"/>
    <w:rsid w:val="0065057B"/>
    <w:rsid w:val="00650B76"/>
    <w:rsid w:val="0065129D"/>
    <w:rsid w:val="006549EF"/>
    <w:rsid w:val="006563A7"/>
    <w:rsid w:val="00660C0C"/>
    <w:rsid w:val="00664D42"/>
    <w:rsid w:val="00664FB2"/>
    <w:rsid w:val="00667507"/>
    <w:rsid w:val="00670C09"/>
    <w:rsid w:val="006717FF"/>
    <w:rsid w:val="00671B4F"/>
    <w:rsid w:val="006809D3"/>
    <w:rsid w:val="00682838"/>
    <w:rsid w:val="00684D9B"/>
    <w:rsid w:val="00693111"/>
    <w:rsid w:val="00695C1A"/>
    <w:rsid w:val="00696F5D"/>
    <w:rsid w:val="006A21F6"/>
    <w:rsid w:val="006A46F6"/>
    <w:rsid w:val="006A66C5"/>
    <w:rsid w:val="006A6942"/>
    <w:rsid w:val="006A79B0"/>
    <w:rsid w:val="006A7C49"/>
    <w:rsid w:val="006B1662"/>
    <w:rsid w:val="006B4D11"/>
    <w:rsid w:val="006B518C"/>
    <w:rsid w:val="006B6E1B"/>
    <w:rsid w:val="006C0A3D"/>
    <w:rsid w:val="006C1BD0"/>
    <w:rsid w:val="006C7981"/>
    <w:rsid w:val="006D2DC5"/>
    <w:rsid w:val="006D3ADE"/>
    <w:rsid w:val="006D3DEC"/>
    <w:rsid w:val="006D6BC2"/>
    <w:rsid w:val="006D7657"/>
    <w:rsid w:val="006D7EC5"/>
    <w:rsid w:val="006E1FC6"/>
    <w:rsid w:val="006E7830"/>
    <w:rsid w:val="006F0644"/>
    <w:rsid w:val="006F1AE1"/>
    <w:rsid w:val="006F1ED9"/>
    <w:rsid w:val="006F25DD"/>
    <w:rsid w:val="006F31D0"/>
    <w:rsid w:val="006F7305"/>
    <w:rsid w:val="006F7DA9"/>
    <w:rsid w:val="00701B9C"/>
    <w:rsid w:val="00701E48"/>
    <w:rsid w:val="0070243B"/>
    <w:rsid w:val="00704BA5"/>
    <w:rsid w:val="00710736"/>
    <w:rsid w:val="00711254"/>
    <w:rsid w:val="007115E2"/>
    <w:rsid w:val="00711F7A"/>
    <w:rsid w:val="00712DEF"/>
    <w:rsid w:val="00717A00"/>
    <w:rsid w:val="0073146E"/>
    <w:rsid w:val="00731F26"/>
    <w:rsid w:val="007330CD"/>
    <w:rsid w:val="00733721"/>
    <w:rsid w:val="00733851"/>
    <w:rsid w:val="00735E69"/>
    <w:rsid w:val="00743A63"/>
    <w:rsid w:val="00751397"/>
    <w:rsid w:val="00751435"/>
    <w:rsid w:val="00751D65"/>
    <w:rsid w:val="00754E93"/>
    <w:rsid w:val="00755093"/>
    <w:rsid w:val="00764B14"/>
    <w:rsid w:val="00764D37"/>
    <w:rsid w:val="007725CA"/>
    <w:rsid w:val="00772768"/>
    <w:rsid w:val="00786192"/>
    <w:rsid w:val="007868AE"/>
    <w:rsid w:val="00786B74"/>
    <w:rsid w:val="0078728B"/>
    <w:rsid w:val="00797323"/>
    <w:rsid w:val="007A0D91"/>
    <w:rsid w:val="007A66D3"/>
    <w:rsid w:val="007A7C29"/>
    <w:rsid w:val="007B2D53"/>
    <w:rsid w:val="007B3683"/>
    <w:rsid w:val="007C444D"/>
    <w:rsid w:val="007C53FC"/>
    <w:rsid w:val="007C6C58"/>
    <w:rsid w:val="007D3417"/>
    <w:rsid w:val="007D3423"/>
    <w:rsid w:val="007D3495"/>
    <w:rsid w:val="007D55DE"/>
    <w:rsid w:val="007E04F6"/>
    <w:rsid w:val="007E28D0"/>
    <w:rsid w:val="007E3EA1"/>
    <w:rsid w:val="007F0F4B"/>
    <w:rsid w:val="007F3E58"/>
    <w:rsid w:val="007F543C"/>
    <w:rsid w:val="007F57A1"/>
    <w:rsid w:val="008010F9"/>
    <w:rsid w:val="00802952"/>
    <w:rsid w:val="00802FE3"/>
    <w:rsid w:val="00810FCC"/>
    <w:rsid w:val="00815CFE"/>
    <w:rsid w:val="00816224"/>
    <w:rsid w:val="00817DEA"/>
    <w:rsid w:val="008216C8"/>
    <w:rsid w:val="00832575"/>
    <w:rsid w:val="0083480E"/>
    <w:rsid w:val="00837480"/>
    <w:rsid w:val="00840561"/>
    <w:rsid w:val="00840715"/>
    <w:rsid w:val="00843758"/>
    <w:rsid w:val="008441F1"/>
    <w:rsid w:val="00847E21"/>
    <w:rsid w:val="00851954"/>
    <w:rsid w:val="008555F7"/>
    <w:rsid w:val="008573E3"/>
    <w:rsid w:val="00857454"/>
    <w:rsid w:val="00857ABB"/>
    <w:rsid w:val="008653C9"/>
    <w:rsid w:val="00866101"/>
    <w:rsid w:val="0086643F"/>
    <w:rsid w:val="008668BD"/>
    <w:rsid w:val="008738F9"/>
    <w:rsid w:val="00874417"/>
    <w:rsid w:val="0087783B"/>
    <w:rsid w:val="008824EB"/>
    <w:rsid w:val="0088251B"/>
    <w:rsid w:val="0088263E"/>
    <w:rsid w:val="00883522"/>
    <w:rsid w:val="0088548B"/>
    <w:rsid w:val="0089122C"/>
    <w:rsid w:val="00893C89"/>
    <w:rsid w:val="0089406F"/>
    <w:rsid w:val="008A5EB8"/>
    <w:rsid w:val="008A7EB9"/>
    <w:rsid w:val="008B439D"/>
    <w:rsid w:val="008B7358"/>
    <w:rsid w:val="008C7398"/>
    <w:rsid w:val="008D1C14"/>
    <w:rsid w:val="008D20DE"/>
    <w:rsid w:val="008D32C4"/>
    <w:rsid w:val="008D426F"/>
    <w:rsid w:val="008D57A2"/>
    <w:rsid w:val="008D601E"/>
    <w:rsid w:val="008D6F4D"/>
    <w:rsid w:val="008D7BAE"/>
    <w:rsid w:val="008E09C1"/>
    <w:rsid w:val="008E2515"/>
    <w:rsid w:val="008E3A7B"/>
    <w:rsid w:val="008E3D9A"/>
    <w:rsid w:val="008E5DAE"/>
    <w:rsid w:val="008E6CEA"/>
    <w:rsid w:val="008E7850"/>
    <w:rsid w:val="008F5880"/>
    <w:rsid w:val="008F72F3"/>
    <w:rsid w:val="009031F3"/>
    <w:rsid w:val="009048DE"/>
    <w:rsid w:val="009077C5"/>
    <w:rsid w:val="00911C68"/>
    <w:rsid w:val="0091682B"/>
    <w:rsid w:val="009169D6"/>
    <w:rsid w:val="0091753D"/>
    <w:rsid w:val="00926990"/>
    <w:rsid w:val="009306E5"/>
    <w:rsid w:val="0093275A"/>
    <w:rsid w:val="00933521"/>
    <w:rsid w:val="00933EF3"/>
    <w:rsid w:val="00942141"/>
    <w:rsid w:val="00946563"/>
    <w:rsid w:val="009507FE"/>
    <w:rsid w:val="0095336C"/>
    <w:rsid w:val="0095643E"/>
    <w:rsid w:val="00957741"/>
    <w:rsid w:val="009605C7"/>
    <w:rsid w:val="00960C9E"/>
    <w:rsid w:val="00960DF2"/>
    <w:rsid w:val="009611EA"/>
    <w:rsid w:val="00962614"/>
    <w:rsid w:val="00971F43"/>
    <w:rsid w:val="00972897"/>
    <w:rsid w:val="00974D30"/>
    <w:rsid w:val="00985B54"/>
    <w:rsid w:val="009872DC"/>
    <w:rsid w:val="00990B42"/>
    <w:rsid w:val="00995E68"/>
    <w:rsid w:val="009A3A21"/>
    <w:rsid w:val="009A4592"/>
    <w:rsid w:val="009A6916"/>
    <w:rsid w:val="009B0566"/>
    <w:rsid w:val="009B059F"/>
    <w:rsid w:val="009B21BF"/>
    <w:rsid w:val="009B232B"/>
    <w:rsid w:val="009C05D5"/>
    <w:rsid w:val="009C29E6"/>
    <w:rsid w:val="009C2CAC"/>
    <w:rsid w:val="009C2FD1"/>
    <w:rsid w:val="009C420A"/>
    <w:rsid w:val="009C459F"/>
    <w:rsid w:val="009C6056"/>
    <w:rsid w:val="009C77B7"/>
    <w:rsid w:val="009E25F3"/>
    <w:rsid w:val="009E616F"/>
    <w:rsid w:val="009F051D"/>
    <w:rsid w:val="009F0ECA"/>
    <w:rsid w:val="009F5FEB"/>
    <w:rsid w:val="009F6F7E"/>
    <w:rsid w:val="00A021BB"/>
    <w:rsid w:val="00A04D86"/>
    <w:rsid w:val="00A079C1"/>
    <w:rsid w:val="00A16289"/>
    <w:rsid w:val="00A21111"/>
    <w:rsid w:val="00A30CAE"/>
    <w:rsid w:val="00A35563"/>
    <w:rsid w:val="00A35DA2"/>
    <w:rsid w:val="00A41375"/>
    <w:rsid w:val="00A45C63"/>
    <w:rsid w:val="00A52B76"/>
    <w:rsid w:val="00A6711F"/>
    <w:rsid w:val="00A67654"/>
    <w:rsid w:val="00A727BE"/>
    <w:rsid w:val="00A72C2C"/>
    <w:rsid w:val="00A8080B"/>
    <w:rsid w:val="00A82862"/>
    <w:rsid w:val="00A83511"/>
    <w:rsid w:val="00A84D35"/>
    <w:rsid w:val="00A86DFA"/>
    <w:rsid w:val="00A93790"/>
    <w:rsid w:val="00A94434"/>
    <w:rsid w:val="00AA0112"/>
    <w:rsid w:val="00AA659C"/>
    <w:rsid w:val="00AA7339"/>
    <w:rsid w:val="00AA7A14"/>
    <w:rsid w:val="00AB06BC"/>
    <w:rsid w:val="00AB0E9E"/>
    <w:rsid w:val="00AB4D4E"/>
    <w:rsid w:val="00AC01A1"/>
    <w:rsid w:val="00AC261E"/>
    <w:rsid w:val="00AC300F"/>
    <w:rsid w:val="00AC4706"/>
    <w:rsid w:val="00AC6113"/>
    <w:rsid w:val="00AD69DD"/>
    <w:rsid w:val="00AD78D0"/>
    <w:rsid w:val="00AE1BB2"/>
    <w:rsid w:val="00AE2E37"/>
    <w:rsid w:val="00AE33DD"/>
    <w:rsid w:val="00AE36FF"/>
    <w:rsid w:val="00AE443A"/>
    <w:rsid w:val="00AE794F"/>
    <w:rsid w:val="00AF1627"/>
    <w:rsid w:val="00AF1BC5"/>
    <w:rsid w:val="00AF3C51"/>
    <w:rsid w:val="00AF48AE"/>
    <w:rsid w:val="00B07D6F"/>
    <w:rsid w:val="00B11EC3"/>
    <w:rsid w:val="00B15232"/>
    <w:rsid w:val="00B16FC3"/>
    <w:rsid w:val="00B17CE5"/>
    <w:rsid w:val="00B246EF"/>
    <w:rsid w:val="00B24D06"/>
    <w:rsid w:val="00B26539"/>
    <w:rsid w:val="00B305FF"/>
    <w:rsid w:val="00B30EF9"/>
    <w:rsid w:val="00B319DE"/>
    <w:rsid w:val="00B32446"/>
    <w:rsid w:val="00B52736"/>
    <w:rsid w:val="00B65FBD"/>
    <w:rsid w:val="00B87E7B"/>
    <w:rsid w:val="00B91161"/>
    <w:rsid w:val="00BA09E7"/>
    <w:rsid w:val="00BA2A26"/>
    <w:rsid w:val="00BA3EAC"/>
    <w:rsid w:val="00BA4045"/>
    <w:rsid w:val="00BB0D7C"/>
    <w:rsid w:val="00BB6B11"/>
    <w:rsid w:val="00BC474B"/>
    <w:rsid w:val="00BC7422"/>
    <w:rsid w:val="00BD3700"/>
    <w:rsid w:val="00BD3F44"/>
    <w:rsid w:val="00BD40DB"/>
    <w:rsid w:val="00BD420D"/>
    <w:rsid w:val="00BD49B8"/>
    <w:rsid w:val="00BD67F8"/>
    <w:rsid w:val="00BE5D8D"/>
    <w:rsid w:val="00BE6F16"/>
    <w:rsid w:val="00BF4D8B"/>
    <w:rsid w:val="00BF519F"/>
    <w:rsid w:val="00C01233"/>
    <w:rsid w:val="00C03FF6"/>
    <w:rsid w:val="00C04DA6"/>
    <w:rsid w:val="00C07A58"/>
    <w:rsid w:val="00C124C5"/>
    <w:rsid w:val="00C166BB"/>
    <w:rsid w:val="00C1792E"/>
    <w:rsid w:val="00C20B02"/>
    <w:rsid w:val="00C304C6"/>
    <w:rsid w:val="00C35BB6"/>
    <w:rsid w:val="00C3787F"/>
    <w:rsid w:val="00C404D4"/>
    <w:rsid w:val="00C4170F"/>
    <w:rsid w:val="00C4276A"/>
    <w:rsid w:val="00C43BB9"/>
    <w:rsid w:val="00C46498"/>
    <w:rsid w:val="00C50740"/>
    <w:rsid w:val="00C540D7"/>
    <w:rsid w:val="00C54E24"/>
    <w:rsid w:val="00C66CF2"/>
    <w:rsid w:val="00C66E5F"/>
    <w:rsid w:val="00C7087A"/>
    <w:rsid w:val="00C73AC5"/>
    <w:rsid w:val="00C758B6"/>
    <w:rsid w:val="00C75DBF"/>
    <w:rsid w:val="00C76B13"/>
    <w:rsid w:val="00C82275"/>
    <w:rsid w:val="00C8296B"/>
    <w:rsid w:val="00C83BBD"/>
    <w:rsid w:val="00C83F79"/>
    <w:rsid w:val="00C84253"/>
    <w:rsid w:val="00C842AF"/>
    <w:rsid w:val="00C86745"/>
    <w:rsid w:val="00C86ACF"/>
    <w:rsid w:val="00C903AC"/>
    <w:rsid w:val="00C90F31"/>
    <w:rsid w:val="00C97D14"/>
    <w:rsid w:val="00CA0D38"/>
    <w:rsid w:val="00CB18E1"/>
    <w:rsid w:val="00CB2902"/>
    <w:rsid w:val="00CB4637"/>
    <w:rsid w:val="00CB79FF"/>
    <w:rsid w:val="00CC0ADA"/>
    <w:rsid w:val="00CC1B7C"/>
    <w:rsid w:val="00CC277D"/>
    <w:rsid w:val="00CC427F"/>
    <w:rsid w:val="00CC4F20"/>
    <w:rsid w:val="00CC7746"/>
    <w:rsid w:val="00CD07E6"/>
    <w:rsid w:val="00CD4E36"/>
    <w:rsid w:val="00CD7B01"/>
    <w:rsid w:val="00CE023A"/>
    <w:rsid w:val="00CE0C46"/>
    <w:rsid w:val="00CE5704"/>
    <w:rsid w:val="00CE77A1"/>
    <w:rsid w:val="00CF3A30"/>
    <w:rsid w:val="00CF4969"/>
    <w:rsid w:val="00CF7895"/>
    <w:rsid w:val="00D0196F"/>
    <w:rsid w:val="00D05E54"/>
    <w:rsid w:val="00D11AEB"/>
    <w:rsid w:val="00D12009"/>
    <w:rsid w:val="00D140DF"/>
    <w:rsid w:val="00D203AF"/>
    <w:rsid w:val="00D21806"/>
    <w:rsid w:val="00D31F4C"/>
    <w:rsid w:val="00D3545A"/>
    <w:rsid w:val="00D35584"/>
    <w:rsid w:val="00D35F7C"/>
    <w:rsid w:val="00D35FB7"/>
    <w:rsid w:val="00D3650B"/>
    <w:rsid w:val="00D378F6"/>
    <w:rsid w:val="00D441E8"/>
    <w:rsid w:val="00D54583"/>
    <w:rsid w:val="00D56D1D"/>
    <w:rsid w:val="00D625E8"/>
    <w:rsid w:val="00D642AF"/>
    <w:rsid w:val="00D67D6A"/>
    <w:rsid w:val="00D70816"/>
    <w:rsid w:val="00D87219"/>
    <w:rsid w:val="00D935A8"/>
    <w:rsid w:val="00DA117E"/>
    <w:rsid w:val="00DA2069"/>
    <w:rsid w:val="00DA37E0"/>
    <w:rsid w:val="00DB2575"/>
    <w:rsid w:val="00DC13EA"/>
    <w:rsid w:val="00DC1B44"/>
    <w:rsid w:val="00DC2D19"/>
    <w:rsid w:val="00DC3046"/>
    <w:rsid w:val="00DC362A"/>
    <w:rsid w:val="00DC69DD"/>
    <w:rsid w:val="00DD18E4"/>
    <w:rsid w:val="00DD2FB7"/>
    <w:rsid w:val="00DD35CB"/>
    <w:rsid w:val="00DD3C8F"/>
    <w:rsid w:val="00DD6212"/>
    <w:rsid w:val="00DE6CD4"/>
    <w:rsid w:val="00DF0AB0"/>
    <w:rsid w:val="00DF20D6"/>
    <w:rsid w:val="00DF3361"/>
    <w:rsid w:val="00DF5EF2"/>
    <w:rsid w:val="00E00163"/>
    <w:rsid w:val="00E04C5F"/>
    <w:rsid w:val="00E121E4"/>
    <w:rsid w:val="00E13108"/>
    <w:rsid w:val="00E144F5"/>
    <w:rsid w:val="00E1735C"/>
    <w:rsid w:val="00E2349C"/>
    <w:rsid w:val="00E248F9"/>
    <w:rsid w:val="00E26919"/>
    <w:rsid w:val="00E30AF0"/>
    <w:rsid w:val="00E30E83"/>
    <w:rsid w:val="00E321A0"/>
    <w:rsid w:val="00E3414A"/>
    <w:rsid w:val="00E34931"/>
    <w:rsid w:val="00E3508E"/>
    <w:rsid w:val="00E35D5F"/>
    <w:rsid w:val="00E4150B"/>
    <w:rsid w:val="00E41E32"/>
    <w:rsid w:val="00E4231C"/>
    <w:rsid w:val="00E4357B"/>
    <w:rsid w:val="00E43F77"/>
    <w:rsid w:val="00E524C8"/>
    <w:rsid w:val="00E554F3"/>
    <w:rsid w:val="00E557D9"/>
    <w:rsid w:val="00E56D4D"/>
    <w:rsid w:val="00E653A0"/>
    <w:rsid w:val="00E653A5"/>
    <w:rsid w:val="00E6568A"/>
    <w:rsid w:val="00E71A0E"/>
    <w:rsid w:val="00E71FEB"/>
    <w:rsid w:val="00E73281"/>
    <w:rsid w:val="00E7391E"/>
    <w:rsid w:val="00E74A05"/>
    <w:rsid w:val="00E75FBA"/>
    <w:rsid w:val="00E84B8D"/>
    <w:rsid w:val="00E854FC"/>
    <w:rsid w:val="00E91013"/>
    <w:rsid w:val="00E92A55"/>
    <w:rsid w:val="00E93810"/>
    <w:rsid w:val="00E9428A"/>
    <w:rsid w:val="00EC220D"/>
    <w:rsid w:val="00EC59E7"/>
    <w:rsid w:val="00ED0503"/>
    <w:rsid w:val="00ED13F9"/>
    <w:rsid w:val="00ED1EA8"/>
    <w:rsid w:val="00EE1F75"/>
    <w:rsid w:val="00EE76C9"/>
    <w:rsid w:val="00EF0D01"/>
    <w:rsid w:val="00EF5E28"/>
    <w:rsid w:val="00EF651E"/>
    <w:rsid w:val="00EF700D"/>
    <w:rsid w:val="00EF7F01"/>
    <w:rsid w:val="00F00ED0"/>
    <w:rsid w:val="00F20690"/>
    <w:rsid w:val="00F211CC"/>
    <w:rsid w:val="00F21EC7"/>
    <w:rsid w:val="00F266FB"/>
    <w:rsid w:val="00F26F2B"/>
    <w:rsid w:val="00F3318C"/>
    <w:rsid w:val="00F34247"/>
    <w:rsid w:val="00F364F0"/>
    <w:rsid w:val="00F4290D"/>
    <w:rsid w:val="00F42932"/>
    <w:rsid w:val="00F43095"/>
    <w:rsid w:val="00F43374"/>
    <w:rsid w:val="00F443F1"/>
    <w:rsid w:val="00F5016F"/>
    <w:rsid w:val="00F502BD"/>
    <w:rsid w:val="00F555C2"/>
    <w:rsid w:val="00F5696C"/>
    <w:rsid w:val="00F56CFD"/>
    <w:rsid w:val="00F63A51"/>
    <w:rsid w:val="00F65C86"/>
    <w:rsid w:val="00F709CF"/>
    <w:rsid w:val="00F71A0E"/>
    <w:rsid w:val="00F730C1"/>
    <w:rsid w:val="00F73E51"/>
    <w:rsid w:val="00F763E7"/>
    <w:rsid w:val="00F7707E"/>
    <w:rsid w:val="00F819C6"/>
    <w:rsid w:val="00F85746"/>
    <w:rsid w:val="00F904C1"/>
    <w:rsid w:val="00F9462E"/>
    <w:rsid w:val="00F9543B"/>
    <w:rsid w:val="00FA06AE"/>
    <w:rsid w:val="00FA36C6"/>
    <w:rsid w:val="00FA518E"/>
    <w:rsid w:val="00FA6274"/>
    <w:rsid w:val="00FA6E03"/>
    <w:rsid w:val="00FB0D55"/>
    <w:rsid w:val="00FB3580"/>
    <w:rsid w:val="00FB7AAB"/>
    <w:rsid w:val="00FC1B4F"/>
    <w:rsid w:val="00FC5DF7"/>
    <w:rsid w:val="00FD1E27"/>
    <w:rsid w:val="00FE1E1A"/>
    <w:rsid w:val="00FE4B78"/>
    <w:rsid w:val="00FF39DB"/>
    <w:rsid w:val="00FF3B5D"/>
    <w:rsid w:val="00FF6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F9897"/>
  <w15:chartTrackingRefBased/>
  <w15:docId w15:val="{3CE8EF6E-98E7-4F7B-A8D7-E0683351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83B"/>
    <w:pPr>
      <w:spacing w:before="120" w:after="120"/>
    </w:pPr>
    <w:rPr>
      <w:rFonts w:ascii="Arial" w:hAnsi="Arial" w:cs="Arial"/>
      <w:sz w:val="28"/>
      <w:szCs w:val="28"/>
    </w:rPr>
  </w:style>
  <w:style w:type="paragraph" w:styleId="Titre1">
    <w:name w:val="heading 1"/>
    <w:basedOn w:val="Normal"/>
    <w:next w:val="Normal"/>
    <w:link w:val="Titre1Car"/>
    <w:uiPriority w:val="9"/>
    <w:qFormat/>
    <w:rsid w:val="00C82275"/>
    <w:pPr>
      <w:keepNext/>
      <w:keepLines/>
      <w:spacing w:after="0"/>
      <w:outlineLvl w:val="0"/>
    </w:pPr>
    <w:rPr>
      <w:rFonts w:eastAsia="Times New Roman"/>
      <w:b/>
      <w:bCs/>
      <w:color w:val="2F5496" w:themeColor="accent1" w:themeShade="BF"/>
      <w:sz w:val="32"/>
      <w:szCs w:val="32"/>
      <w:lang w:val="en-GB"/>
    </w:rPr>
  </w:style>
  <w:style w:type="paragraph" w:styleId="Titre2">
    <w:name w:val="heading 2"/>
    <w:basedOn w:val="Normal"/>
    <w:next w:val="Normal"/>
    <w:link w:val="Titre2Car"/>
    <w:uiPriority w:val="9"/>
    <w:unhideWhenUsed/>
    <w:qFormat/>
    <w:rsid w:val="00C82275"/>
    <w:pPr>
      <w:keepNext/>
      <w:keepLines/>
      <w:spacing w:before="0" w:after="80"/>
      <w:outlineLvl w:val="1"/>
    </w:pPr>
    <w:rPr>
      <w:rFonts w:eastAsiaTheme="majorEastAsia"/>
      <w:color w:val="2F5496" w:themeColor="accent1" w:themeShade="BF"/>
      <w:sz w:val="32"/>
      <w:szCs w:val="3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6470"/>
    <w:pPr>
      <w:ind w:left="720"/>
      <w:contextualSpacing/>
    </w:pPr>
  </w:style>
  <w:style w:type="character" w:styleId="Marquedecommentaire">
    <w:name w:val="annotation reference"/>
    <w:basedOn w:val="Policepardfaut"/>
    <w:uiPriority w:val="99"/>
    <w:semiHidden/>
    <w:unhideWhenUsed/>
    <w:rsid w:val="00A86DFA"/>
    <w:rPr>
      <w:sz w:val="16"/>
      <w:szCs w:val="16"/>
    </w:rPr>
  </w:style>
  <w:style w:type="paragraph" w:styleId="Commentaire">
    <w:name w:val="annotation text"/>
    <w:basedOn w:val="Normal"/>
    <w:link w:val="CommentaireCar"/>
    <w:uiPriority w:val="99"/>
    <w:unhideWhenUsed/>
    <w:rsid w:val="00A86DFA"/>
    <w:pPr>
      <w:spacing w:line="240" w:lineRule="auto"/>
    </w:pPr>
    <w:rPr>
      <w:sz w:val="20"/>
      <w:szCs w:val="20"/>
    </w:rPr>
  </w:style>
  <w:style w:type="character" w:customStyle="1" w:styleId="CommentaireCar">
    <w:name w:val="Commentaire Car"/>
    <w:basedOn w:val="Policepardfaut"/>
    <w:link w:val="Commentaire"/>
    <w:uiPriority w:val="99"/>
    <w:rsid w:val="00A86DFA"/>
    <w:rPr>
      <w:sz w:val="20"/>
      <w:szCs w:val="20"/>
    </w:rPr>
  </w:style>
  <w:style w:type="paragraph" w:styleId="Objetducommentaire">
    <w:name w:val="annotation subject"/>
    <w:basedOn w:val="Commentaire"/>
    <w:next w:val="Commentaire"/>
    <w:link w:val="ObjetducommentaireCar"/>
    <w:uiPriority w:val="99"/>
    <w:semiHidden/>
    <w:unhideWhenUsed/>
    <w:rsid w:val="00A86DFA"/>
    <w:rPr>
      <w:b/>
      <w:bCs/>
    </w:rPr>
  </w:style>
  <w:style w:type="character" w:customStyle="1" w:styleId="ObjetducommentaireCar">
    <w:name w:val="Objet du commentaire Car"/>
    <w:basedOn w:val="CommentaireCar"/>
    <w:link w:val="Objetducommentaire"/>
    <w:uiPriority w:val="99"/>
    <w:semiHidden/>
    <w:rsid w:val="00A86DFA"/>
    <w:rPr>
      <w:b/>
      <w:bCs/>
      <w:sz w:val="20"/>
      <w:szCs w:val="20"/>
    </w:rPr>
  </w:style>
  <w:style w:type="paragraph" w:styleId="Titre">
    <w:name w:val="Title"/>
    <w:basedOn w:val="Normal"/>
    <w:next w:val="Normal"/>
    <w:link w:val="TitreCar"/>
    <w:uiPriority w:val="10"/>
    <w:qFormat/>
    <w:rsid w:val="008668BD"/>
    <w:pPr>
      <w:spacing w:after="0" w:line="240" w:lineRule="auto"/>
      <w:contextualSpacing/>
      <w:jc w:val="center"/>
    </w:pPr>
    <w:rPr>
      <w:rFonts w:eastAsia="Times New Roman"/>
      <w:spacing w:val="-10"/>
      <w:kern w:val="28"/>
      <w:sz w:val="44"/>
      <w:szCs w:val="44"/>
      <w:lang w:val="en-GB" w:eastAsia="fr-FR"/>
    </w:rPr>
  </w:style>
  <w:style w:type="character" w:customStyle="1" w:styleId="TitreCar">
    <w:name w:val="Titre Car"/>
    <w:basedOn w:val="Policepardfaut"/>
    <w:link w:val="Titre"/>
    <w:uiPriority w:val="10"/>
    <w:rsid w:val="008668BD"/>
    <w:rPr>
      <w:rFonts w:ascii="Arial" w:eastAsia="Times New Roman" w:hAnsi="Arial" w:cs="Arial"/>
      <w:spacing w:val="-10"/>
      <w:kern w:val="28"/>
      <w:sz w:val="44"/>
      <w:szCs w:val="44"/>
      <w:lang w:val="en-GB" w:eastAsia="fr-FR"/>
    </w:rPr>
  </w:style>
  <w:style w:type="paragraph" w:styleId="Sous-titre">
    <w:name w:val="Subtitle"/>
    <w:basedOn w:val="Normal"/>
    <w:next w:val="Normal"/>
    <w:link w:val="Sous-titreCar"/>
    <w:uiPriority w:val="11"/>
    <w:qFormat/>
    <w:rsid w:val="00CE77A1"/>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E77A1"/>
    <w:rPr>
      <w:rFonts w:eastAsiaTheme="minorEastAsia"/>
      <w:color w:val="5A5A5A" w:themeColor="text1" w:themeTint="A5"/>
      <w:spacing w:val="15"/>
    </w:rPr>
  </w:style>
  <w:style w:type="character" w:customStyle="1" w:styleId="Titre2Car">
    <w:name w:val="Titre 2 Car"/>
    <w:basedOn w:val="Policepardfaut"/>
    <w:link w:val="Titre2"/>
    <w:uiPriority w:val="9"/>
    <w:rsid w:val="00C82275"/>
    <w:rPr>
      <w:rFonts w:ascii="Arial" w:eastAsiaTheme="majorEastAsia" w:hAnsi="Arial" w:cs="Arial"/>
      <w:color w:val="2F5496" w:themeColor="accent1" w:themeShade="BF"/>
      <w:sz w:val="32"/>
      <w:szCs w:val="32"/>
      <w:lang w:val="en-GB"/>
    </w:rPr>
  </w:style>
  <w:style w:type="character" w:customStyle="1" w:styleId="Titre1Car">
    <w:name w:val="Titre 1 Car"/>
    <w:basedOn w:val="Policepardfaut"/>
    <w:link w:val="Titre1"/>
    <w:uiPriority w:val="9"/>
    <w:rsid w:val="00C82275"/>
    <w:rPr>
      <w:rFonts w:ascii="Arial" w:eastAsia="Times New Roman" w:hAnsi="Arial" w:cs="Arial"/>
      <w:b/>
      <w:bCs/>
      <w:color w:val="2F5496" w:themeColor="accent1" w:themeShade="BF"/>
      <w:sz w:val="32"/>
      <w:szCs w:val="32"/>
      <w:lang w:val="en-GB"/>
    </w:rPr>
  </w:style>
  <w:style w:type="character" w:styleId="Accentuation">
    <w:name w:val="Emphasis"/>
    <w:basedOn w:val="Policepardfaut"/>
    <w:uiPriority w:val="20"/>
    <w:qFormat/>
    <w:rsid w:val="00F85746"/>
    <w:rPr>
      <w:rFonts w:ascii="Arial" w:hAnsi="Arial" w:cs="Arial"/>
      <w:b/>
      <w:bCs/>
      <w:sz w:val="28"/>
      <w:szCs w:val="28"/>
    </w:rPr>
  </w:style>
  <w:style w:type="paragraph" w:styleId="Rvision">
    <w:name w:val="Revision"/>
    <w:hidden/>
    <w:uiPriority w:val="99"/>
    <w:semiHidden/>
    <w:rsid w:val="002D1A5F"/>
    <w:pPr>
      <w:spacing w:after="0" w:line="240" w:lineRule="auto"/>
    </w:pPr>
    <w:rPr>
      <w:rFonts w:ascii="Arial" w:hAnsi="Arial" w:cs="Arial"/>
      <w:sz w:val="28"/>
      <w:szCs w:val="28"/>
    </w:rPr>
  </w:style>
  <w:style w:type="paragraph" w:styleId="En-tte">
    <w:name w:val="header"/>
    <w:basedOn w:val="Normal"/>
    <w:link w:val="En-tteCar"/>
    <w:uiPriority w:val="99"/>
    <w:unhideWhenUsed/>
    <w:rsid w:val="00093CEC"/>
    <w:pPr>
      <w:tabs>
        <w:tab w:val="center" w:pos="4536"/>
        <w:tab w:val="right" w:pos="9072"/>
      </w:tabs>
      <w:spacing w:after="0" w:line="240" w:lineRule="auto"/>
    </w:pPr>
  </w:style>
  <w:style w:type="character" w:customStyle="1" w:styleId="En-tteCar">
    <w:name w:val="En-tête Car"/>
    <w:basedOn w:val="Policepardfaut"/>
    <w:link w:val="En-tte"/>
    <w:uiPriority w:val="99"/>
    <w:rsid w:val="00093CEC"/>
    <w:rPr>
      <w:rFonts w:ascii="Arial" w:hAnsi="Arial" w:cs="Arial"/>
      <w:sz w:val="28"/>
      <w:szCs w:val="28"/>
    </w:rPr>
  </w:style>
  <w:style w:type="paragraph" w:styleId="Pieddepage">
    <w:name w:val="footer"/>
    <w:basedOn w:val="Normal"/>
    <w:link w:val="PieddepageCar"/>
    <w:uiPriority w:val="99"/>
    <w:unhideWhenUsed/>
    <w:rsid w:val="00093C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3CEC"/>
    <w:rPr>
      <w:rFonts w:ascii="Arial" w:hAnsi="Arial" w:cs="Arial"/>
      <w:sz w:val="28"/>
      <w:szCs w:val="28"/>
    </w:rPr>
  </w:style>
  <w:style w:type="character" w:styleId="Lienhypertexte">
    <w:name w:val="Hyperlink"/>
    <w:basedOn w:val="Policepardfaut"/>
    <w:uiPriority w:val="99"/>
    <w:unhideWhenUsed/>
    <w:rsid w:val="00E84B8D"/>
    <w:rPr>
      <w:color w:val="0563C1" w:themeColor="hyperlink"/>
      <w:u w:val="single"/>
    </w:rPr>
  </w:style>
  <w:style w:type="character" w:styleId="Mentionnonrsolue">
    <w:name w:val="Unresolved Mention"/>
    <w:basedOn w:val="Policepardfaut"/>
    <w:uiPriority w:val="99"/>
    <w:semiHidden/>
    <w:unhideWhenUsed/>
    <w:rsid w:val="00E84B8D"/>
    <w:rPr>
      <w:color w:val="605E5C"/>
      <w:shd w:val="clear" w:color="auto" w:fill="E1DFDD"/>
    </w:rPr>
  </w:style>
  <w:style w:type="character" w:styleId="Lienhypertextesuivivisit">
    <w:name w:val="FollowedHyperlink"/>
    <w:basedOn w:val="Policepardfaut"/>
    <w:uiPriority w:val="99"/>
    <w:semiHidden/>
    <w:unhideWhenUsed/>
    <w:rsid w:val="00C82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campaigning@euroblin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roblind.org/sites/default/files/documents/EBU%20Position%20paper%20on%20Braille%202023.pdf" TargetMode="External"/><Relationship Id="rId4" Type="http://schemas.openxmlformats.org/officeDocument/2006/relationships/settings" Target="settings.xml"/><Relationship Id="rId9" Type="http://schemas.openxmlformats.org/officeDocument/2006/relationships/hyperlink" Target="https://www.edf-feph.org/publications/eppd-manifesto-2023/"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CE494-C9D7-4C93-8209-AADE4362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2721</Words>
  <Characters>14971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FOBE</dc:creator>
  <cp:keywords/>
  <dc:description/>
  <cp:lastModifiedBy>Gary MAY</cp:lastModifiedBy>
  <cp:revision>273</cp:revision>
  <cp:lastPrinted>2023-09-05T13:23:00Z</cp:lastPrinted>
  <dcterms:created xsi:type="dcterms:W3CDTF">2023-04-28T14:44:00Z</dcterms:created>
  <dcterms:modified xsi:type="dcterms:W3CDTF">2023-09-05T13:26:00Z</dcterms:modified>
</cp:coreProperties>
</file>