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7CC5E0E0">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7CC5E0E2">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7"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CC5E0E3" wp14:editId="63AF415D">
                <wp:simplePos x="0" y="0"/>
                <wp:positionH relativeFrom="column">
                  <wp:posOffset>-737235</wp:posOffset>
                </wp:positionH>
                <wp:positionV relativeFrom="paragraph">
                  <wp:posOffset>233553</wp:posOffset>
                </wp:positionV>
                <wp:extent cx="6867525" cy="15621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5621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E528" id="Rechteck 10" o:spid="_x0000_s1026" style="position:absolute;margin-left:-58.05pt;margin-top:18.4pt;width:540.7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" fillcolor="white [3201]" strokecolor="#003d82" strokeweight="2.25pt"/>
            </w:pict>
          </mc:Fallback>
        </mc:AlternateContent>
      </w:r>
    </w:p>
    <w:p w14:paraId="7CC5E099" w14:textId="0CA2D0E9" w:rsidR="00197912" w:rsidRPr="00197912" w:rsidRDefault="007C0C44" w:rsidP="0083288C">
      <w:pPr>
        <w:pStyle w:val="Title"/>
        <w:ind w:left="284" w:hanging="284"/>
      </w:pPr>
      <w:r w:rsidRPr="004974B7">
        <w:t xml:space="preserve">European Blind Union response to </w:t>
      </w:r>
      <w:r w:rsidR="00043784">
        <w:t>Commission call for</w:t>
      </w:r>
      <w:r w:rsidR="00E06845">
        <w:t xml:space="preserve"> </w:t>
      </w:r>
      <w:r w:rsidR="00043784">
        <w:t>evidence</w:t>
      </w:r>
      <w:r w:rsidR="00BE3A09">
        <w:t xml:space="preserve"> for </w:t>
      </w:r>
      <w:r w:rsidR="007031E5">
        <w:t xml:space="preserve">revision of </w:t>
      </w:r>
      <w:r w:rsidR="00E6531B">
        <w:t xml:space="preserve">EU </w:t>
      </w:r>
      <w:r w:rsidR="007031E5">
        <w:t>Public Procurement</w:t>
      </w:r>
      <w:r w:rsidR="0083288C">
        <w:t xml:space="preserve"> Directive</w:t>
      </w:r>
    </w:p>
    <w:p w14:paraId="59EF49F5" w14:textId="77777777" w:rsidR="00E90268" w:rsidRDefault="00E90268" w:rsidP="00C117B4">
      <w:pPr>
        <w:jc w:val="center"/>
        <w:rPr>
          <w:lang w:val="en-GB"/>
        </w:rPr>
      </w:pPr>
    </w:p>
    <w:p w14:paraId="7CC5E09A" w14:textId="4040DB2C" w:rsidR="008446F0" w:rsidRPr="00197912" w:rsidRDefault="00197912" w:rsidP="00C117B4">
      <w:pPr>
        <w:jc w:val="center"/>
      </w:pPr>
      <w:r>
        <w:t xml:space="preserve">EBU Position Paper | </w:t>
      </w:r>
      <w:r w:rsidR="00E6531B">
        <w:t>January</w:t>
      </w:r>
      <w:r w:rsidR="00F164A8">
        <w:t xml:space="preserve"> 202</w:t>
      </w:r>
      <w:r w:rsidR="00E6531B">
        <w:t>6</w:t>
      </w:r>
    </w:p>
    <w:p w14:paraId="7CC5E09B" w14:textId="77777777" w:rsidR="008446F0" w:rsidRPr="001E4A81" w:rsidRDefault="008446F0" w:rsidP="00F61067">
      <w:pPr>
        <w:jc w:val="center"/>
        <w:rPr>
          <w:sz w:val="40"/>
          <w:szCs w:val="36"/>
          <w:lang w:val="en-GB"/>
        </w:rPr>
      </w:pPr>
    </w:p>
    <w:p w14:paraId="7CC5E09F" w14:textId="268B25EC" w:rsidR="00684470" w:rsidRDefault="00377361" w:rsidP="00BB7C00">
      <w:pPr>
        <w:pStyle w:val="Subtitle"/>
        <w:spacing w:after="240"/>
      </w:pPr>
      <w:r w:rsidRPr="004974B7">
        <w:t xml:space="preserve">Object of the </w:t>
      </w:r>
      <w:r w:rsidR="00F23A6B">
        <w:t>call for evidence</w:t>
      </w:r>
    </w:p>
    <w:p w14:paraId="43BC3A80" w14:textId="77777777" w:rsidR="00A178EC" w:rsidRDefault="00475CBF" w:rsidP="00BB7C00">
      <w:pPr>
        <w:spacing w:after="240"/>
        <w:rPr>
          <w:lang w:val="en-GB"/>
        </w:rPr>
      </w:pPr>
      <w:r>
        <w:rPr>
          <w:lang w:val="en-GB"/>
        </w:rPr>
        <w:t xml:space="preserve">The call for evidence </w:t>
      </w:r>
      <w:r w:rsidR="00CB30B2">
        <w:rPr>
          <w:lang w:val="en-GB"/>
        </w:rPr>
        <w:t xml:space="preserve">indicates: </w:t>
      </w:r>
    </w:p>
    <w:p w14:paraId="142F7A59" w14:textId="6A218C7D" w:rsidR="007542C9" w:rsidRPr="007542C9" w:rsidRDefault="00A178EC" w:rsidP="007542C9">
      <w:pPr>
        <w:spacing w:before="240" w:after="240"/>
        <w:rPr>
          <w:lang w:val="en-GB"/>
        </w:rPr>
      </w:pPr>
      <w:r>
        <w:rPr>
          <w:lang w:val="en-GB"/>
        </w:rPr>
        <w:t>“</w:t>
      </w:r>
      <w:r w:rsidR="007542C9" w:rsidRPr="007542C9">
        <w:rPr>
          <w:lang w:val="en-GB"/>
        </w:rPr>
        <w:t>In the Commission’s 2024-2029 political guidelines, President von der Leyen announced a revision of the public procurement directives. This revision will:</w:t>
      </w:r>
    </w:p>
    <w:p w14:paraId="7C7574E8" w14:textId="121E7EDF" w:rsidR="007542C9" w:rsidRPr="00903F84" w:rsidRDefault="007542C9" w:rsidP="00903F84">
      <w:pPr>
        <w:pStyle w:val="ListParagraph"/>
        <w:numPr>
          <w:ilvl w:val="0"/>
          <w:numId w:val="45"/>
        </w:numPr>
        <w:spacing w:before="240" w:after="240"/>
        <w:rPr>
          <w:lang w:val="en-GB"/>
        </w:rPr>
      </w:pPr>
      <w:r w:rsidRPr="00903F84">
        <w:rPr>
          <w:lang w:val="en-GB"/>
        </w:rPr>
        <w:t>enable preference to be given to European products in public procurement, helping to ensure EU added value and secure the supply of vital technologies, products and services</w:t>
      </w:r>
    </w:p>
    <w:p w14:paraId="5AC04D13" w14:textId="36F5DBF2" w:rsidR="007542C9" w:rsidRPr="00903F84" w:rsidRDefault="007542C9" w:rsidP="00903F84">
      <w:pPr>
        <w:pStyle w:val="ListParagraph"/>
        <w:numPr>
          <w:ilvl w:val="0"/>
          <w:numId w:val="45"/>
        </w:numPr>
        <w:spacing w:before="240" w:after="240"/>
        <w:rPr>
          <w:lang w:val="en-GB"/>
        </w:rPr>
      </w:pPr>
      <w:r w:rsidRPr="00903F84">
        <w:rPr>
          <w:lang w:val="en-GB"/>
        </w:rPr>
        <w:t>also modernise and simplify procurement rules, while making public procurement a tool for strategic investment.</w:t>
      </w:r>
    </w:p>
    <w:p w14:paraId="729CB87E" w14:textId="03616520" w:rsidR="007542C9" w:rsidRDefault="006107E7" w:rsidP="00A178EC">
      <w:pPr>
        <w:spacing w:before="240" w:after="240"/>
        <w:rPr>
          <w:lang w:val="en-GB"/>
        </w:rPr>
      </w:pPr>
      <w:r>
        <w:rPr>
          <w:lang w:val="en-GB"/>
        </w:rPr>
        <w:t>(…)</w:t>
      </w:r>
    </w:p>
    <w:p w14:paraId="73C7E1AF" w14:textId="1CAB124F" w:rsidR="006107E7" w:rsidRDefault="006107E7" w:rsidP="00A178EC">
      <w:pPr>
        <w:spacing w:before="240" w:after="240"/>
        <w:rPr>
          <w:lang w:val="en-GB"/>
        </w:rPr>
      </w:pPr>
      <w:r w:rsidRPr="006107E7">
        <w:rPr>
          <w:lang w:val="en-GB"/>
        </w:rPr>
        <w:t>The Commission would like to hear your views.</w:t>
      </w:r>
      <w:r>
        <w:rPr>
          <w:lang w:val="en-GB"/>
        </w:rPr>
        <w:t>”</w:t>
      </w:r>
    </w:p>
    <w:p w14:paraId="7CC5E0A6" w14:textId="20A69BC7" w:rsidR="00B501D1" w:rsidRPr="00377361" w:rsidRDefault="005E13DC" w:rsidP="00BB7C00">
      <w:pPr>
        <w:pStyle w:val="Subtitle"/>
        <w:spacing w:after="240"/>
      </w:pPr>
      <w:r>
        <w:t>Response</w:t>
      </w:r>
    </w:p>
    <w:p w14:paraId="5D00F819" w14:textId="77777777" w:rsidR="00D3681D" w:rsidRPr="00D3681D" w:rsidRDefault="00D3681D" w:rsidP="00D3681D">
      <w:p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EBU would like to echo the concerns and recommendations expressed by its umbrella group the European Disability Forum.</w:t>
      </w:r>
    </w:p>
    <w:p w14:paraId="093AC156" w14:textId="77777777" w:rsidR="00D3681D" w:rsidRPr="00D3681D" w:rsidRDefault="00D3681D" w:rsidP="00D3681D">
      <w:pPr>
        <w:spacing w:after="160" w:line="259" w:lineRule="auto"/>
        <w:rPr>
          <w:rFonts w:eastAsia="Calibri"/>
          <w:color w:val="2F5496" w:themeColor="accent1" w:themeShade="BF"/>
          <w:kern w:val="2"/>
          <w:szCs w:val="22"/>
          <w:lang w:val="en-GB"/>
          <w14:ligatures w14:val="standardContextual"/>
        </w:rPr>
      </w:pPr>
      <w:r w:rsidRPr="00D3681D">
        <w:rPr>
          <w:rFonts w:eastAsia="Calibri"/>
          <w:color w:val="2F5496" w:themeColor="accent1" w:themeShade="BF"/>
          <w:kern w:val="2"/>
          <w:szCs w:val="22"/>
          <w:lang w:val="en-GB"/>
          <w14:ligatures w14:val="standardContextual"/>
        </w:rPr>
        <w:t>The Public Procurement Directive has enormous potential to foster inclusion for persons with disabilities (PWD) but it does not currently reach its full potential.</w:t>
      </w:r>
    </w:p>
    <w:p w14:paraId="2E17A316" w14:textId="77777777" w:rsidR="00D3681D" w:rsidRPr="00D3681D" w:rsidRDefault="00D3681D" w:rsidP="00D3681D">
      <w:p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 xml:space="preserve">The directive underserves PWD in a number of areas, particularly when it comes to support services. It is hard to demonstrate quality of support services as part of the procurement process, meaning that price is </w:t>
      </w:r>
      <w:r w:rsidRPr="00D3681D">
        <w:rPr>
          <w:rFonts w:eastAsia="Calibri"/>
          <w:kern w:val="2"/>
          <w:szCs w:val="22"/>
          <w:lang w:val="en-GB"/>
          <w14:ligatures w14:val="standardContextual"/>
        </w:rPr>
        <w:lastRenderedPageBreak/>
        <w:t xml:space="preserve">almost always the determining factor in selection. The choice of service provider is designed for large groups of people rather than based on personal needs and preferences. The short-term approach to contract renegotiations means that PWD have to adjust to frequent changes in who provides support to them, and how it is done, which can be hugely destabilising and denies the right to choose enshrined in the UN Convention on the Rights of Persons with Disabilities (CRPD). </w:t>
      </w:r>
    </w:p>
    <w:p w14:paraId="5BD84839" w14:textId="77777777" w:rsidR="00D3681D" w:rsidRPr="00D3681D" w:rsidRDefault="00D3681D" w:rsidP="00D3681D">
      <w:p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 xml:space="preserve">Another issue is that, despite the existence of Article 42 on technical specifications, public procurement does not always result in abiding by accessibility standards, let alone using accessibility as an award criteria. This is seen with the accessibility of buildings rented or constructed using this process, or in the transport sector. There is also currently no redress mechanism outlined in the directive, and no clear remedial process to guarantee that concerns will be addressed. </w:t>
      </w:r>
    </w:p>
    <w:p w14:paraId="1357AC9E" w14:textId="77777777" w:rsidR="00D3681D" w:rsidRPr="00D3681D" w:rsidRDefault="00D3681D" w:rsidP="00D3681D">
      <w:p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 xml:space="preserve">One way to make public procurement effective is to promote tenders for inclusive employers. Reserved contracts for undertakings employing a high percentage of staff with disabilities are already allowed under Article 20. However, it is essential that the type of workplace these contracts are reserved for uphold the rights of PWD as workers, in line with the CRPD. Sheltered workshops where PWD are paid below minimum wage, or do not have the same rights as other workers in their country, should be excluded from these reserved contracts. Social enterprises of quality that offer job protection in line with national norms and support persons with disabilities to transition to the open labour market should be prioritised, instead. Beyond the reserved contracts, employers in the open labour market who demonstrate a high level of inclusiveness within their workforce should be given extra points in the public procurement process and thus favoured in calls for tender. This could be made much clearer in Article 70 on Conditions for Performance of Contracts. </w:t>
      </w:r>
      <w:bookmarkStart w:id="0" w:name="_Hlk219189308"/>
    </w:p>
    <w:p w14:paraId="2585F12F" w14:textId="77777777" w:rsidR="00D3681D" w:rsidRPr="00D3681D" w:rsidRDefault="00D3681D" w:rsidP="00D3681D">
      <w:pPr>
        <w:spacing w:after="160" w:line="259" w:lineRule="auto"/>
        <w:rPr>
          <w:rFonts w:eastAsia="Calibri"/>
          <w:color w:val="2F5496" w:themeColor="accent1" w:themeShade="BF"/>
          <w:kern w:val="2"/>
          <w:szCs w:val="22"/>
          <w:lang w:val="en-GB"/>
          <w14:ligatures w14:val="standardContextual"/>
        </w:rPr>
      </w:pPr>
      <w:r w:rsidRPr="00D3681D">
        <w:rPr>
          <w:rFonts w:eastAsia="Calibri"/>
          <w:color w:val="2F5496" w:themeColor="accent1" w:themeShade="BF"/>
          <w:kern w:val="2"/>
          <w:szCs w:val="22"/>
          <w:lang w:val="en-GB"/>
          <w14:ligatures w14:val="standardContextual"/>
        </w:rPr>
        <w:t xml:space="preserve">For all these reasons, the review of the Public Procurement Directive should aim to: </w:t>
      </w:r>
    </w:p>
    <w:bookmarkEnd w:id="0"/>
    <w:p w14:paraId="1E824C00" w14:textId="77777777" w:rsidR="00D3681D" w:rsidRPr="00D3681D" w:rsidRDefault="00D3681D" w:rsidP="00D3681D">
      <w:pPr>
        <w:pStyle w:val="ListParagraph"/>
        <w:numPr>
          <w:ilvl w:val="0"/>
          <w:numId w:val="46"/>
        </w:num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 xml:space="preserve">Favour direct procurement for the provision of support for PWD, to enable greater choice over a service provider and a focus on quality and personal choice rather than cost alone. </w:t>
      </w:r>
    </w:p>
    <w:p w14:paraId="07AA711F" w14:textId="77777777" w:rsidR="00D3681D" w:rsidRPr="00D3681D" w:rsidRDefault="00D3681D" w:rsidP="00D3681D">
      <w:pPr>
        <w:pStyle w:val="ListParagraph"/>
        <w:numPr>
          <w:ilvl w:val="0"/>
          <w:numId w:val="46"/>
        </w:num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Better clarify which type of company or enterprise should be eligible to apply for reserved contract, and ensuring that quality of employment and respect for workers’ rights are upheld in line with Article 27 of the CRPD.</w:t>
      </w:r>
    </w:p>
    <w:p w14:paraId="30C272ED" w14:textId="77777777" w:rsidR="00D3681D" w:rsidRPr="00D3681D" w:rsidRDefault="00D3681D" w:rsidP="00D3681D">
      <w:pPr>
        <w:pStyle w:val="ListParagraph"/>
        <w:numPr>
          <w:ilvl w:val="0"/>
          <w:numId w:val="46"/>
        </w:num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lastRenderedPageBreak/>
        <w:t>Make sure that inclusion of workers with disabilities is considered as a factor in public procurement beyond the reserved contracts.</w:t>
      </w:r>
    </w:p>
    <w:p w14:paraId="2EBFBE92" w14:textId="77777777" w:rsidR="00D3681D" w:rsidRPr="00D3681D" w:rsidRDefault="00D3681D" w:rsidP="00D3681D">
      <w:pPr>
        <w:pStyle w:val="ListParagraph"/>
        <w:numPr>
          <w:ilvl w:val="0"/>
          <w:numId w:val="46"/>
        </w:num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 xml:space="preserve">Strengthen provisions to ensure that technical specifications will incorporate accessibility for persons with disabilities in line with EU harmonised accessibility legislation (European Accessibility Act), and that accessibility will be used as an award criteria. </w:t>
      </w:r>
    </w:p>
    <w:p w14:paraId="0CFEC407" w14:textId="77777777" w:rsidR="00D3681D" w:rsidRPr="00D3681D" w:rsidRDefault="00D3681D" w:rsidP="00D3681D">
      <w:pPr>
        <w:pStyle w:val="ListParagraph"/>
        <w:numPr>
          <w:ilvl w:val="0"/>
          <w:numId w:val="46"/>
        </w:num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 xml:space="preserve">Set up redress and enforcement mechanisms for citizens to challenge non-compliant public procurement decisions. </w:t>
      </w:r>
    </w:p>
    <w:p w14:paraId="24B303FB" w14:textId="77777777" w:rsidR="00D3681D" w:rsidRPr="00D3681D" w:rsidRDefault="00D3681D" w:rsidP="00D3681D">
      <w:pPr>
        <w:pStyle w:val="ListParagraph"/>
        <w:numPr>
          <w:ilvl w:val="0"/>
          <w:numId w:val="46"/>
        </w:num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Bring more support for authorities, especially authorities at the local level, to include accessibility in the procurement processes (how to require accessibility, check the offers received, etc.).</w:t>
      </w:r>
    </w:p>
    <w:p w14:paraId="02AC79F2" w14:textId="77777777" w:rsidR="00D3681D" w:rsidRPr="00D3681D" w:rsidRDefault="00D3681D" w:rsidP="00D3681D">
      <w:pPr>
        <w:pStyle w:val="ListParagraph"/>
        <w:numPr>
          <w:ilvl w:val="0"/>
          <w:numId w:val="46"/>
        </w:numPr>
        <w:spacing w:after="160" w:line="259" w:lineRule="auto"/>
        <w:rPr>
          <w:rFonts w:eastAsia="Calibri"/>
          <w:kern w:val="2"/>
          <w:szCs w:val="22"/>
          <w:lang w:val="en-GB"/>
          <w14:ligatures w14:val="standardContextual"/>
        </w:rPr>
      </w:pPr>
      <w:r w:rsidRPr="00D3681D">
        <w:rPr>
          <w:rFonts w:eastAsia="Calibri"/>
          <w:kern w:val="2"/>
          <w:szCs w:val="22"/>
          <w:lang w:val="en-GB"/>
          <w14:ligatures w14:val="standardContextual"/>
        </w:rPr>
        <w:t>Support organisations of persons with disabilities understand and engage in public procurement where persons with disabilities are concerned.</w:t>
      </w:r>
    </w:p>
    <w:p w14:paraId="7CC5E0DB" w14:textId="77777777" w:rsidR="007C528B" w:rsidRPr="00377361" w:rsidRDefault="006C4F92" w:rsidP="00F74CB0">
      <w:pPr>
        <w:pStyle w:val="Subtitle"/>
        <w:ind w:left="0" w:firstLine="0"/>
      </w:pPr>
      <w:r w:rsidRPr="00377361">
        <w:t>A</w:t>
      </w:r>
      <w:r w:rsidR="00377361" w:rsidRPr="00377361">
        <w:t>bout EBU</w:t>
      </w:r>
    </w:p>
    <w:p w14:paraId="7CC5E0DD" w14:textId="7027719F" w:rsidR="006C4F92" w:rsidRPr="006C4F92" w:rsidRDefault="002802DA" w:rsidP="002802DA">
      <w:pPr>
        <w:spacing w:after="240"/>
        <w:rPr>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47B00C3D">
                <wp:simplePos x="0" y="0"/>
                <wp:positionH relativeFrom="margin">
                  <wp:posOffset>-689229</wp:posOffset>
                </wp:positionH>
                <wp:positionV relativeFrom="paragraph">
                  <wp:posOffset>1779651</wp:posOffset>
                </wp:positionV>
                <wp:extent cx="6791325" cy="1383030"/>
                <wp:effectExtent l="19050" t="19050" r="28575" b="26670"/>
                <wp:wrapNone/>
                <wp:docPr id="11" name="Rechteck 11"/>
                <wp:cNvGraphicFramePr/>
                <a:graphic xmlns:a="http://schemas.openxmlformats.org/drawingml/2006/main">
                  <a:graphicData uri="http://schemas.microsoft.com/office/word/2010/wordprocessingShape">
                    <wps:wsp>
                      <wps:cNvSpPr/>
                      <wps:spPr>
                        <a:xfrm>
                          <a:off x="0" y="0"/>
                          <a:ext cx="6791325" cy="138303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9" w:history="1">
                              <w:r w:rsidR="006C4F92"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54.25pt;margin-top:140.15pt;width:534.75pt;height:108.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" fillcolor="white [3201]" strokecolor="#003d82" strokeweight="2.25pt">
                <v:textbo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1" w:history="1">
                        <w:r w:rsidR="006C4F92"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v:textbox>
                <w10:wrap anchorx="margin"/>
              </v:rect>
            </w:pict>
          </mc:Fallback>
        </mc:AlternateContent>
      </w:r>
      <w:r w:rsidR="006C4F92" w:rsidRPr="006C4F92">
        <w:rPr>
          <w:lang w:val="en-GB"/>
        </w:rPr>
        <w:t xml:space="preserve">The European Blind Union (EBU) – </w:t>
      </w:r>
      <w:r w:rsidR="006C4F92" w:rsidRPr="004974B7">
        <w:rPr>
          <w:rStyle w:val="Emphasis"/>
        </w:rPr>
        <w:t>Interest Representative Register number 42378755934-87</w:t>
      </w:r>
      <w:r w:rsidR="006C4F92"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006C4F92" w:rsidRPr="00EB2816">
        <w:rPr>
          <w:lang w:val="en-GB"/>
        </w:rPr>
        <w:t>4</w:t>
      </w:r>
      <w:r w:rsidR="00EB2816" w:rsidRPr="00EB2816">
        <w:rPr>
          <w:lang w:val="en-GB"/>
        </w:rPr>
        <w:t>0</w:t>
      </w:r>
      <w:r w:rsidR="006C4F92" w:rsidRPr="00EB2816">
        <w:rPr>
          <w:lang w:val="en-GB"/>
        </w:rPr>
        <w:t xml:space="preserve"> national members including organisations from 2</w:t>
      </w:r>
      <w:r w:rsidR="00EB2816" w:rsidRPr="00EB2816">
        <w:rPr>
          <w:lang w:val="en-GB"/>
        </w:rPr>
        <w:t>6</w:t>
      </w:r>
      <w:r w:rsidR="006C4F92" w:rsidRPr="00EB2816">
        <w:rPr>
          <w:lang w:val="en-GB"/>
        </w:rPr>
        <w:t xml:space="preserve"> European Union</w:t>
      </w:r>
      <w:r w:rsidR="006C4F92" w:rsidRPr="006C4F92">
        <w:rPr>
          <w:lang w:val="en-GB"/>
        </w:rPr>
        <w:t xml:space="preserve"> member states, candidate countries and other countries in geographical Europe.</w:t>
      </w:r>
    </w:p>
    <w:p w14:paraId="7CC5E0DE" w14:textId="557121B8" w:rsidR="00B501D1" w:rsidRPr="007C528B" w:rsidRDefault="00B501D1" w:rsidP="00982244">
      <w:pPr>
        <w:rPr>
          <w:sz w:val="20"/>
          <w:lang w:val="en-GB"/>
        </w:rPr>
      </w:pPr>
    </w:p>
    <w:sectPr w:rsidR="00B501D1" w:rsidRPr="007C528B" w:rsidSect="002E2FF4">
      <w:headerReference w:type="default" r:id="rId13"/>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804B" w14:textId="77777777" w:rsidR="004E66F3" w:rsidRDefault="004E66F3" w:rsidP="00D17D8A">
      <w:r>
        <w:separator/>
      </w:r>
    </w:p>
  </w:endnote>
  <w:endnote w:type="continuationSeparator" w:id="0">
    <w:p w14:paraId="7713B003" w14:textId="77777777" w:rsidR="004E66F3" w:rsidRDefault="004E66F3"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0166" w14:textId="77777777" w:rsidR="004E66F3" w:rsidRDefault="004E66F3" w:rsidP="00D17D8A">
      <w:r>
        <w:separator/>
      </w:r>
    </w:p>
  </w:footnote>
  <w:footnote w:type="continuationSeparator" w:id="0">
    <w:p w14:paraId="4CD04906" w14:textId="77777777" w:rsidR="004E66F3" w:rsidRDefault="004E66F3"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405E1A8C" w:rsidR="00AC7013" w:rsidRDefault="00AC7013" w:rsidP="00AC7013">
        <w:pPr>
          <w:pStyle w:val="Header"/>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356F04">
          <w:rPr>
            <w:sz w:val="24"/>
            <w:szCs w:val="24"/>
          </w:rPr>
          <w:t>–</w:t>
        </w:r>
        <w:r w:rsidR="00BE6F10">
          <w:rPr>
            <w:sz w:val="24"/>
            <w:szCs w:val="24"/>
          </w:rPr>
          <w:t xml:space="preserve"> </w:t>
        </w:r>
        <w:r w:rsidR="001910B3">
          <w:rPr>
            <w:sz w:val="24"/>
            <w:szCs w:val="24"/>
          </w:rPr>
          <w:t>January 2026</w:t>
        </w:r>
      </w:p>
      <w:p w14:paraId="7CC5E0EC" w14:textId="77777777" w:rsidR="00106853" w:rsidRPr="00106853" w:rsidRDefault="00106853">
        <w:pPr>
          <w:pStyle w:val="Header"/>
          <w:rPr>
            <w:sz w:val="24"/>
            <w:szCs w:val="24"/>
          </w:rPr>
        </w:pPr>
      </w:p>
      <w:p w14:paraId="7CC5E0ED" w14:textId="77777777" w:rsidR="0000566C" w:rsidRPr="00106853" w:rsidRDefault="00106853" w:rsidP="00106853">
        <w:pPr>
          <w:pStyle w:val="Header"/>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AA3"/>
    <w:multiLevelType w:val="hybridMultilevel"/>
    <w:tmpl w:val="19CAD18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13E5A"/>
    <w:multiLevelType w:val="hybridMultilevel"/>
    <w:tmpl w:val="6EA04E5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22578"/>
    <w:multiLevelType w:val="hybridMultilevel"/>
    <w:tmpl w:val="52621200"/>
    <w:lvl w:ilvl="0" w:tplc="30EC5C0A">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1D319F"/>
    <w:multiLevelType w:val="hybridMultilevel"/>
    <w:tmpl w:val="B088ECD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74502C0"/>
    <w:multiLevelType w:val="hybridMultilevel"/>
    <w:tmpl w:val="47CE2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60FF1"/>
    <w:multiLevelType w:val="hybridMultilevel"/>
    <w:tmpl w:val="81226CD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6172">
    <w:abstractNumId w:val="10"/>
  </w:num>
  <w:num w:numId="2" w16cid:durableId="1050496416">
    <w:abstractNumId w:val="32"/>
  </w:num>
  <w:num w:numId="3" w16cid:durableId="1294360226">
    <w:abstractNumId w:val="21"/>
  </w:num>
  <w:num w:numId="4" w16cid:durableId="919145053">
    <w:abstractNumId w:val="23"/>
  </w:num>
  <w:num w:numId="5" w16cid:durableId="16473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510333">
    <w:abstractNumId w:val="24"/>
  </w:num>
  <w:num w:numId="7" w16cid:durableId="1434934705">
    <w:abstractNumId w:val="44"/>
  </w:num>
  <w:num w:numId="8" w16cid:durableId="919367828">
    <w:abstractNumId w:val="33"/>
  </w:num>
  <w:num w:numId="9" w16cid:durableId="1885094596">
    <w:abstractNumId w:val="28"/>
  </w:num>
  <w:num w:numId="10" w16cid:durableId="2044091430">
    <w:abstractNumId w:val="27"/>
  </w:num>
  <w:num w:numId="11" w16cid:durableId="1459880582">
    <w:abstractNumId w:val="7"/>
  </w:num>
  <w:num w:numId="12" w16cid:durableId="1659311197">
    <w:abstractNumId w:val="39"/>
  </w:num>
  <w:num w:numId="13" w16cid:durableId="144472933">
    <w:abstractNumId w:val="9"/>
  </w:num>
  <w:num w:numId="14" w16cid:durableId="466046328">
    <w:abstractNumId w:val="16"/>
  </w:num>
  <w:num w:numId="15" w16cid:durableId="1339507120">
    <w:abstractNumId w:val="18"/>
  </w:num>
  <w:num w:numId="16" w16cid:durableId="941717446">
    <w:abstractNumId w:val="38"/>
  </w:num>
  <w:num w:numId="17" w16cid:durableId="602498524">
    <w:abstractNumId w:val="1"/>
  </w:num>
  <w:num w:numId="18" w16cid:durableId="1897163029">
    <w:abstractNumId w:val="22"/>
  </w:num>
  <w:num w:numId="19" w16cid:durableId="585186698">
    <w:abstractNumId w:val="14"/>
  </w:num>
  <w:num w:numId="20" w16cid:durableId="2003659272">
    <w:abstractNumId w:val="11"/>
  </w:num>
  <w:num w:numId="21" w16cid:durableId="2140147053">
    <w:abstractNumId w:val="17"/>
  </w:num>
  <w:num w:numId="22" w16cid:durableId="1161047063">
    <w:abstractNumId w:val="13"/>
  </w:num>
  <w:num w:numId="23" w16cid:durableId="1143739324">
    <w:abstractNumId w:val="37"/>
  </w:num>
  <w:num w:numId="24" w16cid:durableId="1435007082">
    <w:abstractNumId w:val="5"/>
  </w:num>
  <w:num w:numId="25" w16cid:durableId="50077475">
    <w:abstractNumId w:val="6"/>
  </w:num>
  <w:num w:numId="26" w16cid:durableId="1812016418">
    <w:abstractNumId w:val="26"/>
  </w:num>
  <w:num w:numId="27" w16cid:durableId="1519541905">
    <w:abstractNumId w:val="20"/>
  </w:num>
  <w:num w:numId="28" w16cid:durableId="1182353079">
    <w:abstractNumId w:val="42"/>
  </w:num>
  <w:num w:numId="29" w16cid:durableId="958611624">
    <w:abstractNumId w:val="15"/>
  </w:num>
  <w:num w:numId="30" w16cid:durableId="1448356627">
    <w:abstractNumId w:val="31"/>
  </w:num>
  <w:num w:numId="31" w16cid:durableId="1930306534">
    <w:abstractNumId w:val="4"/>
  </w:num>
  <w:num w:numId="32" w16cid:durableId="695500516">
    <w:abstractNumId w:val="30"/>
  </w:num>
  <w:num w:numId="33" w16cid:durableId="1488279879">
    <w:abstractNumId w:val="12"/>
  </w:num>
  <w:num w:numId="34" w16cid:durableId="1629553725">
    <w:abstractNumId w:val="3"/>
  </w:num>
  <w:num w:numId="35" w16cid:durableId="1608346945">
    <w:abstractNumId w:val="19"/>
  </w:num>
  <w:num w:numId="36" w16cid:durableId="277955267">
    <w:abstractNumId w:val="2"/>
  </w:num>
  <w:num w:numId="37" w16cid:durableId="1517038528">
    <w:abstractNumId w:val="25"/>
  </w:num>
  <w:num w:numId="38" w16cid:durableId="470557844">
    <w:abstractNumId w:val="41"/>
  </w:num>
  <w:num w:numId="39" w16cid:durableId="1354376706">
    <w:abstractNumId w:val="35"/>
  </w:num>
  <w:num w:numId="40" w16cid:durableId="1798261267">
    <w:abstractNumId w:val="40"/>
  </w:num>
  <w:num w:numId="41" w16cid:durableId="1979339777">
    <w:abstractNumId w:val="0"/>
  </w:num>
  <w:num w:numId="42" w16cid:durableId="280693090">
    <w:abstractNumId w:val="29"/>
  </w:num>
  <w:num w:numId="43" w16cid:durableId="228655259">
    <w:abstractNumId w:val="34"/>
  </w:num>
  <w:num w:numId="44" w16cid:durableId="761755089">
    <w:abstractNumId w:val="8"/>
  </w:num>
  <w:num w:numId="45" w16cid:durableId="609705338">
    <w:abstractNumId w:val="36"/>
  </w:num>
  <w:num w:numId="46" w16cid:durableId="1795099501">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9AE"/>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0B3"/>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02DA"/>
    <w:rsid w:val="00281545"/>
    <w:rsid w:val="00283DBF"/>
    <w:rsid w:val="002866F2"/>
    <w:rsid w:val="002911F0"/>
    <w:rsid w:val="00291367"/>
    <w:rsid w:val="00293070"/>
    <w:rsid w:val="00293D32"/>
    <w:rsid w:val="00295F43"/>
    <w:rsid w:val="00295F64"/>
    <w:rsid w:val="0029602C"/>
    <w:rsid w:val="002963F3"/>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223A"/>
    <w:rsid w:val="002C3084"/>
    <w:rsid w:val="002C3156"/>
    <w:rsid w:val="002C5247"/>
    <w:rsid w:val="002C7174"/>
    <w:rsid w:val="002C7372"/>
    <w:rsid w:val="002D01ED"/>
    <w:rsid w:val="002D13C7"/>
    <w:rsid w:val="002D37C2"/>
    <w:rsid w:val="002D3B26"/>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590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2D34"/>
    <w:rsid w:val="003341B3"/>
    <w:rsid w:val="00334F76"/>
    <w:rsid w:val="00335336"/>
    <w:rsid w:val="0033570C"/>
    <w:rsid w:val="0033658C"/>
    <w:rsid w:val="00341FF6"/>
    <w:rsid w:val="0034334B"/>
    <w:rsid w:val="00343B97"/>
    <w:rsid w:val="00345C92"/>
    <w:rsid w:val="003557BB"/>
    <w:rsid w:val="00356F04"/>
    <w:rsid w:val="00357191"/>
    <w:rsid w:val="00360422"/>
    <w:rsid w:val="0036150D"/>
    <w:rsid w:val="003627F3"/>
    <w:rsid w:val="003628CE"/>
    <w:rsid w:val="00363463"/>
    <w:rsid w:val="00363B78"/>
    <w:rsid w:val="00364CD6"/>
    <w:rsid w:val="00370041"/>
    <w:rsid w:val="003714CB"/>
    <w:rsid w:val="00373584"/>
    <w:rsid w:val="00375A4F"/>
    <w:rsid w:val="00375D78"/>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73E1"/>
    <w:rsid w:val="00420635"/>
    <w:rsid w:val="00420BD1"/>
    <w:rsid w:val="00420BEE"/>
    <w:rsid w:val="00421D1B"/>
    <w:rsid w:val="00423CE1"/>
    <w:rsid w:val="00423F62"/>
    <w:rsid w:val="004240E6"/>
    <w:rsid w:val="004244B7"/>
    <w:rsid w:val="00424EF2"/>
    <w:rsid w:val="00425132"/>
    <w:rsid w:val="004253C7"/>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87132"/>
    <w:rsid w:val="0049216D"/>
    <w:rsid w:val="00492493"/>
    <w:rsid w:val="0049384A"/>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6B0D"/>
    <w:rsid w:val="004C7354"/>
    <w:rsid w:val="004D0B14"/>
    <w:rsid w:val="004D0DBE"/>
    <w:rsid w:val="004D25C1"/>
    <w:rsid w:val="004D27DC"/>
    <w:rsid w:val="004D660F"/>
    <w:rsid w:val="004E197C"/>
    <w:rsid w:val="004E3C45"/>
    <w:rsid w:val="004E4103"/>
    <w:rsid w:val="004E66F3"/>
    <w:rsid w:val="004E7506"/>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6C68"/>
    <w:rsid w:val="0053788F"/>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4F9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4690"/>
    <w:rsid w:val="005A53E5"/>
    <w:rsid w:val="005A5805"/>
    <w:rsid w:val="005B2B45"/>
    <w:rsid w:val="005B2BE8"/>
    <w:rsid w:val="005B4622"/>
    <w:rsid w:val="005B5D87"/>
    <w:rsid w:val="005B7DC8"/>
    <w:rsid w:val="005C0BCA"/>
    <w:rsid w:val="005C137C"/>
    <w:rsid w:val="005C2CD7"/>
    <w:rsid w:val="005C3CE8"/>
    <w:rsid w:val="005C4FCC"/>
    <w:rsid w:val="005C594C"/>
    <w:rsid w:val="005C7903"/>
    <w:rsid w:val="005D33D5"/>
    <w:rsid w:val="005D5AB7"/>
    <w:rsid w:val="005E13DC"/>
    <w:rsid w:val="005E3169"/>
    <w:rsid w:val="005E3329"/>
    <w:rsid w:val="005E4641"/>
    <w:rsid w:val="005E506C"/>
    <w:rsid w:val="005E76C2"/>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07E7"/>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31E5"/>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37FB0"/>
    <w:rsid w:val="00740912"/>
    <w:rsid w:val="00740A27"/>
    <w:rsid w:val="00741BA6"/>
    <w:rsid w:val="007425D3"/>
    <w:rsid w:val="00743494"/>
    <w:rsid w:val="007443F6"/>
    <w:rsid w:val="007446BC"/>
    <w:rsid w:val="007468BA"/>
    <w:rsid w:val="007476A6"/>
    <w:rsid w:val="007513AD"/>
    <w:rsid w:val="00751FBD"/>
    <w:rsid w:val="00752701"/>
    <w:rsid w:val="00753EB8"/>
    <w:rsid w:val="007542C9"/>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87C06"/>
    <w:rsid w:val="007974EC"/>
    <w:rsid w:val="007A00D5"/>
    <w:rsid w:val="007A0477"/>
    <w:rsid w:val="007A0D72"/>
    <w:rsid w:val="007A16E9"/>
    <w:rsid w:val="007A2F4C"/>
    <w:rsid w:val="007A3A9C"/>
    <w:rsid w:val="007A40F3"/>
    <w:rsid w:val="007A5635"/>
    <w:rsid w:val="007A584A"/>
    <w:rsid w:val="007A5D56"/>
    <w:rsid w:val="007A643C"/>
    <w:rsid w:val="007A776F"/>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54B3"/>
    <w:rsid w:val="007D602D"/>
    <w:rsid w:val="007D6B97"/>
    <w:rsid w:val="007D7B7B"/>
    <w:rsid w:val="007D7BAA"/>
    <w:rsid w:val="007E3367"/>
    <w:rsid w:val="007E3CA3"/>
    <w:rsid w:val="007E5810"/>
    <w:rsid w:val="007E609C"/>
    <w:rsid w:val="007E60E0"/>
    <w:rsid w:val="007F1298"/>
    <w:rsid w:val="007F3411"/>
    <w:rsid w:val="007F369D"/>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88C"/>
    <w:rsid w:val="00832F9C"/>
    <w:rsid w:val="008339A1"/>
    <w:rsid w:val="00833D12"/>
    <w:rsid w:val="00840851"/>
    <w:rsid w:val="00840894"/>
    <w:rsid w:val="008429AD"/>
    <w:rsid w:val="008440C9"/>
    <w:rsid w:val="008446F0"/>
    <w:rsid w:val="00846CCB"/>
    <w:rsid w:val="0084755D"/>
    <w:rsid w:val="00852C2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23FC"/>
    <w:rsid w:val="00884929"/>
    <w:rsid w:val="00886381"/>
    <w:rsid w:val="00886F1C"/>
    <w:rsid w:val="00887789"/>
    <w:rsid w:val="00892F74"/>
    <w:rsid w:val="00894CC8"/>
    <w:rsid w:val="0089515F"/>
    <w:rsid w:val="008A1778"/>
    <w:rsid w:val="008A1C05"/>
    <w:rsid w:val="008A2430"/>
    <w:rsid w:val="008A419F"/>
    <w:rsid w:val="008A434A"/>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3F84"/>
    <w:rsid w:val="00904335"/>
    <w:rsid w:val="009048F5"/>
    <w:rsid w:val="009053E4"/>
    <w:rsid w:val="00910A6C"/>
    <w:rsid w:val="00912BBE"/>
    <w:rsid w:val="00914458"/>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C4AEC"/>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178EC"/>
    <w:rsid w:val="00A21166"/>
    <w:rsid w:val="00A21470"/>
    <w:rsid w:val="00A21E0D"/>
    <w:rsid w:val="00A225B5"/>
    <w:rsid w:val="00A23B2B"/>
    <w:rsid w:val="00A24243"/>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6F5B"/>
    <w:rsid w:val="00A603C4"/>
    <w:rsid w:val="00A61675"/>
    <w:rsid w:val="00A61ACF"/>
    <w:rsid w:val="00A62033"/>
    <w:rsid w:val="00A62A9C"/>
    <w:rsid w:val="00A64140"/>
    <w:rsid w:val="00A667CD"/>
    <w:rsid w:val="00A701B4"/>
    <w:rsid w:val="00A718D9"/>
    <w:rsid w:val="00A759E2"/>
    <w:rsid w:val="00A801D4"/>
    <w:rsid w:val="00A8317E"/>
    <w:rsid w:val="00A837E8"/>
    <w:rsid w:val="00A84A20"/>
    <w:rsid w:val="00A860A9"/>
    <w:rsid w:val="00A91720"/>
    <w:rsid w:val="00A92CB8"/>
    <w:rsid w:val="00A94B4A"/>
    <w:rsid w:val="00A96126"/>
    <w:rsid w:val="00AA1F13"/>
    <w:rsid w:val="00AA391A"/>
    <w:rsid w:val="00AA43ED"/>
    <w:rsid w:val="00AA6226"/>
    <w:rsid w:val="00AA6A3D"/>
    <w:rsid w:val="00AA780E"/>
    <w:rsid w:val="00AB476D"/>
    <w:rsid w:val="00AB4EE8"/>
    <w:rsid w:val="00AB6B3C"/>
    <w:rsid w:val="00AC0804"/>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3295"/>
    <w:rsid w:val="00B35AB1"/>
    <w:rsid w:val="00B37FE3"/>
    <w:rsid w:val="00B4137D"/>
    <w:rsid w:val="00B421F8"/>
    <w:rsid w:val="00B42E10"/>
    <w:rsid w:val="00B435E4"/>
    <w:rsid w:val="00B45A1D"/>
    <w:rsid w:val="00B46257"/>
    <w:rsid w:val="00B501D1"/>
    <w:rsid w:val="00B525C3"/>
    <w:rsid w:val="00B55DAD"/>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B7C00"/>
    <w:rsid w:val="00BC0699"/>
    <w:rsid w:val="00BC1C02"/>
    <w:rsid w:val="00BC2D90"/>
    <w:rsid w:val="00BC40D6"/>
    <w:rsid w:val="00BC40FE"/>
    <w:rsid w:val="00BC5AE1"/>
    <w:rsid w:val="00BC625E"/>
    <w:rsid w:val="00BD041A"/>
    <w:rsid w:val="00BD2292"/>
    <w:rsid w:val="00BD3AE0"/>
    <w:rsid w:val="00BD42B7"/>
    <w:rsid w:val="00BD66E8"/>
    <w:rsid w:val="00BD67E9"/>
    <w:rsid w:val="00BD7C24"/>
    <w:rsid w:val="00BE1982"/>
    <w:rsid w:val="00BE2165"/>
    <w:rsid w:val="00BE2488"/>
    <w:rsid w:val="00BE3A09"/>
    <w:rsid w:val="00BE3C3E"/>
    <w:rsid w:val="00BE4299"/>
    <w:rsid w:val="00BE4CCB"/>
    <w:rsid w:val="00BE6746"/>
    <w:rsid w:val="00BE6F10"/>
    <w:rsid w:val="00BE7C27"/>
    <w:rsid w:val="00BF06DC"/>
    <w:rsid w:val="00BF1FDA"/>
    <w:rsid w:val="00BF4281"/>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A61D4"/>
    <w:rsid w:val="00CB30B2"/>
    <w:rsid w:val="00CB3615"/>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81D"/>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663"/>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40AD"/>
    <w:rsid w:val="00DA4C5E"/>
    <w:rsid w:val="00DA4F93"/>
    <w:rsid w:val="00DB006B"/>
    <w:rsid w:val="00DB064D"/>
    <w:rsid w:val="00DB0D79"/>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06845"/>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E0A"/>
    <w:rsid w:val="00E44FDB"/>
    <w:rsid w:val="00E452D3"/>
    <w:rsid w:val="00E464D8"/>
    <w:rsid w:val="00E53AE4"/>
    <w:rsid w:val="00E54407"/>
    <w:rsid w:val="00E545BF"/>
    <w:rsid w:val="00E54780"/>
    <w:rsid w:val="00E572BF"/>
    <w:rsid w:val="00E5782B"/>
    <w:rsid w:val="00E61F08"/>
    <w:rsid w:val="00E62150"/>
    <w:rsid w:val="00E63B27"/>
    <w:rsid w:val="00E64725"/>
    <w:rsid w:val="00E6531B"/>
    <w:rsid w:val="00E656C9"/>
    <w:rsid w:val="00E6598A"/>
    <w:rsid w:val="00E66A6A"/>
    <w:rsid w:val="00E717A2"/>
    <w:rsid w:val="00E71D22"/>
    <w:rsid w:val="00E7367B"/>
    <w:rsid w:val="00E761BA"/>
    <w:rsid w:val="00E81AC1"/>
    <w:rsid w:val="00E8368B"/>
    <w:rsid w:val="00E83B2D"/>
    <w:rsid w:val="00E83BF0"/>
    <w:rsid w:val="00E86501"/>
    <w:rsid w:val="00E86779"/>
    <w:rsid w:val="00E90268"/>
    <w:rsid w:val="00E90318"/>
    <w:rsid w:val="00E9124F"/>
    <w:rsid w:val="00E913EB"/>
    <w:rsid w:val="00E9163A"/>
    <w:rsid w:val="00E91A3F"/>
    <w:rsid w:val="00E92DB9"/>
    <w:rsid w:val="00E94701"/>
    <w:rsid w:val="00E96481"/>
    <w:rsid w:val="00EA00E2"/>
    <w:rsid w:val="00EA021A"/>
    <w:rsid w:val="00EA0635"/>
    <w:rsid w:val="00EA0BFB"/>
    <w:rsid w:val="00EA16C0"/>
    <w:rsid w:val="00EA74F3"/>
    <w:rsid w:val="00EB0BE9"/>
    <w:rsid w:val="00EB0EA8"/>
    <w:rsid w:val="00EB1298"/>
    <w:rsid w:val="00EB1F53"/>
    <w:rsid w:val="00EB27F5"/>
    <w:rsid w:val="00EB2816"/>
    <w:rsid w:val="00EB44A3"/>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4CB0"/>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Heading1">
    <w:name w:val="heading 1"/>
    <w:basedOn w:val="Normal"/>
    <w:next w:val="Normal"/>
    <w:link w:val="Heading1Char"/>
    <w:qFormat/>
    <w:rsid w:val="00830C44"/>
    <w:pPr>
      <w:keepNext/>
      <w:ind w:left="851" w:hanging="851"/>
      <w:outlineLvl w:val="0"/>
    </w:pPr>
    <w:rPr>
      <w:rFonts w:cs="Arial"/>
      <w:b/>
      <w:bCs/>
      <w:color w:val="003D82"/>
      <w:sz w:val="36"/>
      <w:lang w:val="en-GB"/>
    </w:rPr>
  </w:style>
  <w:style w:type="paragraph" w:styleId="Heading2">
    <w:name w:val="heading 2"/>
    <w:basedOn w:val="ListParagraph"/>
    <w:next w:val="Normal"/>
    <w:link w:val="Heading2Char"/>
    <w:uiPriority w:val="9"/>
    <w:unhideWhenUsed/>
    <w:qFormat/>
    <w:rsid w:val="00B501D1"/>
    <w:pPr>
      <w:ind w:left="1134" w:hanging="1134"/>
      <w:outlineLvl w:val="1"/>
    </w:pPr>
    <w:rPr>
      <w:b/>
      <w:color w:val="003D82"/>
      <w:sz w:val="36"/>
      <w:lang w:val="en-GB"/>
    </w:rPr>
  </w:style>
  <w:style w:type="paragraph" w:styleId="Heading3">
    <w:name w:val="heading 3"/>
    <w:basedOn w:val="Normal"/>
    <w:next w:val="Normal"/>
    <w:link w:val="Heading3Char"/>
    <w:uiPriority w:val="9"/>
    <w:unhideWhenUsed/>
    <w:qFormat/>
    <w:rsid w:val="00F31118"/>
    <w:pPr>
      <w:outlineLvl w:val="2"/>
    </w:pPr>
    <w:rPr>
      <w:b/>
      <w:color w:val="003D8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C44"/>
    <w:rPr>
      <w:rFonts w:cs="Arial"/>
      <w:b/>
      <w:bCs/>
      <w:color w:val="003D82"/>
      <w:sz w:val="36"/>
      <w:lang w:val="en-GB"/>
    </w:rPr>
  </w:style>
  <w:style w:type="table" w:styleId="TableGrid">
    <w:name w:val="Table Grid"/>
    <w:basedOn w:val="Table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2F9"/>
    <w:pPr>
      <w:ind w:left="720"/>
      <w:contextualSpacing/>
    </w:pPr>
  </w:style>
  <w:style w:type="paragraph" w:styleId="Caption">
    <w:name w:val="caption"/>
    <w:basedOn w:val="Normal"/>
    <w:next w:val="Normal"/>
    <w:uiPriority w:val="35"/>
    <w:unhideWhenUsed/>
    <w:qFormat/>
    <w:rsid w:val="000856AF"/>
    <w:pPr>
      <w:spacing w:after="80"/>
      <w:jc w:val="center"/>
    </w:pPr>
    <w:rPr>
      <w:b/>
      <w:iCs/>
      <w:szCs w:val="18"/>
    </w:rPr>
  </w:style>
  <w:style w:type="paragraph" w:styleId="Header">
    <w:name w:val="header"/>
    <w:basedOn w:val="Normal"/>
    <w:link w:val="HeaderChar"/>
    <w:uiPriority w:val="99"/>
    <w:unhideWhenUsed/>
    <w:rsid w:val="00D17D8A"/>
    <w:pPr>
      <w:tabs>
        <w:tab w:val="center" w:pos="4536"/>
        <w:tab w:val="right" w:pos="9072"/>
      </w:tabs>
    </w:pPr>
  </w:style>
  <w:style w:type="character" w:customStyle="1" w:styleId="HeaderChar">
    <w:name w:val="Header Char"/>
    <w:basedOn w:val="DefaultParagraphFont"/>
    <w:link w:val="Header"/>
    <w:uiPriority w:val="99"/>
    <w:rsid w:val="00D17D8A"/>
    <w:rPr>
      <w:rFonts w:ascii="Arial" w:eastAsia="Times New Roman" w:hAnsi="Arial" w:cs="Times New Roman"/>
      <w:sz w:val="24"/>
      <w:szCs w:val="24"/>
      <w:lang w:val="en-GB"/>
    </w:rPr>
  </w:style>
  <w:style w:type="paragraph" w:styleId="Footer">
    <w:name w:val="footer"/>
    <w:basedOn w:val="Normal"/>
    <w:link w:val="FooterChar"/>
    <w:uiPriority w:val="99"/>
    <w:unhideWhenUsed/>
    <w:rsid w:val="00D17D8A"/>
    <w:pPr>
      <w:tabs>
        <w:tab w:val="center" w:pos="4536"/>
        <w:tab w:val="right" w:pos="9072"/>
      </w:tabs>
    </w:pPr>
  </w:style>
  <w:style w:type="character" w:customStyle="1" w:styleId="FooterChar">
    <w:name w:val="Footer Char"/>
    <w:basedOn w:val="DefaultParagraphFont"/>
    <w:link w:val="Footer"/>
    <w:uiPriority w:val="99"/>
    <w:rsid w:val="00D17D8A"/>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643D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D3F"/>
    <w:rPr>
      <w:rFonts w:ascii="Lucida Grande" w:eastAsia="Times New Roman" w:hAnsi="Lucida Grande" w:cs="Lucida Grande"/>
      <w:sz w:val="18"/>
      <w:szCs w:val="18"/>
      <w:lang w:val="en-GB"/>
    </w:rPr>
  </w:style>
  <w:style w:type="paragraph" w:styleId="Title">
    <w:name w:val="Title"/>
    <w:basedOn w:val="Heading1"/>
    <w:next w:val="Normal"/>
    <w:link w:val="TitleChar"/>
    <w:uiPriority w:val="10"/>
    <w:qFormat/>
    <w:rsid w:val="004974B7"/>
    <w:pPr>
      <w:jc w:val="center"/>
    </w:pPr>
    <w:rPr>
      <w:sz w:val="48"/>
      <w:szCs w:val="48"/>
    </w:rPr>
  </w:style>
  <w:style w:type="character" w:customStyle="1" w:styleId="TitleChar">
    <w:name w:val="Title Char"/>
    <w:basedOn w:val="DefaultParagraphFont"/>
    <w:link w:val="Title"/>
    <w:uiPriority w:val="10"/>
    <w:rsid w:val="004974B7"/>
    <w:rPr>
      <w:rFonts w:cs="Arial"/>
      <w:b/>
      <w:bCs/>
      <w:color w:val="003D82"/>
      <w:sz w:val="48"/>
      <w:szCs w:val="48"/>
      <w:lang w:val="en-GB"/>
    </w:rPr>
  </w:style>
  <w:style w:type="character" w:customStyle="1" w:styleId="Heading2Char">
    <w:name w:val="Heading 2 Char"/>
    <w:basedOn w:val="DefaultParagraphFont"/>
    <w:link w:val="Heading2"/>
    <w:uiPriority w:val="9"/>
    <w:rsid w:val="00B501D1"/>
    <w:rPr>
      <w:b/>
      <w:color w:val="003D82"/>
      <w:sz w:val="36"/>
      <w:lang w:val="en-GB"/>
    </w:rPr>
  </w:style>
  <w:style w:type="paragraph" w:styleId="Subtitle">
    <w:name w:val="Subtitle"/>
    <w:basedOn w:val="Heading1"/>
    <w:next w:val="Normal"/>
    <w:link w:val="SubtitleChar"/>
    <w:uiPriority w:val="11"/>
    <w:qFormat/>
    <w:rsid w:val="004974B7"/>
    <w:rPr>
      <w:sz w:val="40"/>
      <w:szCs w:val="40"/>
    </w:rPr>
  </w:style>
  <w:style w:type="character" w:customStyle="1" w:styleId="SubtitleChar">
    <w:name w:val="Subtitle Char"/>
    <w:basedOn w:val="DefaultParagraphFont"/>
    <w:link w:val="Subtitle"/>
    <w:uiPriority w:val="11"/>
    <w:rsid w:val="004974B7"/>
    <w:rPr>
      <w:rFonts w:cs="Arial"/>
      <w:b/>
      <w:bCs/>
      <w:color w:val="003D82"/>
      <w:sz w:val="40"/>
      <w:szCs w:val="40"/>
      <w:lang w:val="en-GB"/>
    </w:rPr>
  </w:style>
  <w:style w:type="character" w:customStyle="1" w:styleId="Heading3Char">
    <w:name w:val="Heading 3 Char"/>
    <w:basedOn w:val="DefaultParagraphFont"/>
    <w:link w:val="Heading3"/>
    <w:uiPriority w:val="9"/>
    <w:rsid w:val="00F31118"/>
    <w:rPr>
      <w:b/>
      <w:color w:val="003D82"/>
      <w:lang w:val="en-GB"/>
    </w:rPr>
  </w:style>
  <w:style w:type="paragraph" w:styleId="TOCHeading">
    <w:name w:val="TOC Heading"/>
    <w:basedOn w:val="Heading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OC1">
    <w:name w:val="toc 1"/>
    <w:basedOn w:val="Normal"/>
    <w:next w:val="Normal"/>
    <w:autoRedefine/>
    <w:uiPriority w:val="39"/>
    <w:unhideWhenUsed/>
    <w:qFormat/>
    <w:rsid w:val="00A31776"/>
    <w:pPr>
      <w:spacing w:after="100"/>
    </w:pPr>
  </w:style>
  <w:style w:type="paragraph" w:styleId="TOC2">
    <w:name w:val="toc 2"/>
    <w:basedOn w:val="Normal"/>
    <w:next w:val="Normal"/>
    <w:autoRedefine/>
    <w:uiPriority w:val="39"/>
    <w:unhideWhenUsed/>
    <w:qFormat/>
    <w:rsid w:val="00A31776"/>
    <w:pPr>
      <w:spacing w:after="100"/>
      <w:ind w:left="280"/>
    </w:pPr>
  </w:style>
  <w:style w:type="character" w:styleId="Hyperlink">
    <w:name w:val="Hyperlink"/>
    <w:basedOn w:val="DefaultParagraphFont"/>
    <w:uiPriority w:val="99"/>
    <w:unhideWhenUsed/>
    <w:rsid w:val="00A31776"/>
    <w:rPr>
      <w:color w:val="0563C1" w:themeColor="hyperlink"/>
      <w:u w:val="single"/>
    </w:rPr>
  </w:style>
  <w:style w:type="paragraph" w:styleId="TOC3">
    <w:name w:val="toc 3"/>
    <w:basedOn w:val="Normal"/>
    <w:next w:val="Normal"/>
    <w:autoRedefine/>
    <w:uiPriority w:val="39"/>
    <w:unhideWhenUsed/>
    <w:qFormat/>
    <w:rsid w:val="008C0548"/>
    <w:pPr>
      <w:spacing w:after="100"/>
      <w:ind w:left="560"/>
    </w:pPr>
  </w:style>
  <w:style w:type="paragraph" w:styleId="TableofFigures">
    <w:name w:val="table of figures"/>
    <w:basedOn w:val="Normal"/>
    <w:next w:val="Normal"/>
    <w:uiPriority w:val="99"/>
    <w:unhideWhenUsed/>
    <w:rsid w:val="000856AF"/>
  </w:style>
  <w:style w:type="character" w:styleId="CommentReference">
    <w:name w:val="annotation reference"/>
    <w:basedOn w:val="DefaultParagraphFont"/>
    <w:uiPriority w:val="99"/>
    <w:semiHidden/>
    <w:unhideWhenUsed/>
    <w:rsid w:val="002963F3"/>
    <w:rPr>
      <w:sz w:val="16"/>
      <w:szCs w:val="16"/>
    </w:rPr>
  </w:style>
  <w:style w:type="paragraph" w:styleId="CommentText">
    <w:name w:val="annotation text"/>
    <w:basedOn w:val="Normal"/>
    <w:link w:val="CommentTextChar"/>
    <w:uiPriority w:val="99"/>
    <w:semiHidden/>
    <w:unhideWhenUsed/>
    <w:rsid w:val="002963F3"/>
    <w:rPr>
      <w:sz w:val="20"/>
      <w:szCs w:val="20"/>
    </w:rPr>
  </w:style>
  <w:style w:type="character" w:customStyle="1" w:styleId="CommentTextChar">
    <w:name w:val="Comment Text Char"/>
    <w:basedOn w:val="DefaultParagraphFont"/>
    <w:link w:val="CommentText"/>
    <w:uiPriority w:val="99"/>
    <w:semiHidden/>
    <w:rsid w:val="002963F3"/>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963F3"/>
    <w:rPr>
      <w:b/>
      <w:bCs/>
    </w:rPr>
  </w:style>
  <w:style w:type="character" w:customStyle="1" w:styleId="CommentSubjectChar">
    <w:name w:val="Comment Subject Char"/>
    <w:basedOn w:val="CommentTextChar"/>
    <w:link w:val="CommentSubject"/>
    <w:uiPriority w:val="99"/>
    <w:semiHidden/>
    <w:rsid w:val="002963F3"/>
    <w:rPr>
      <w:rFonts w:ascii="Arial" w:eastAsia="Times New Roman" w:hAnsi="Arial" w:cs="Times New Roman"/>
      <w:b/>
      <w:bCs/>
      <w:sz w:val="20"/>
      <w:szCs w:val="20"/>
      <w:lang w:val="en-GB"/>
    </w:rPr>
  </w:style>
  <w:style w:type="character" w:styleId="FollowedHyperlink">
    <w:name w:val="FollowedHyperlink"/>
    <w:basedOn w:val="DefaultParagraphFont"/>
    <w:uiPriority w:val="99"/>
    <w:semiHidden/>
    <w:unhideWhenUsed/>
    <w:rsid w:val="00AB6B3C"/>
    <w:rPr>
      <w:color w:val="954F72" w:themeColor="followedHyperlink"/>
      <w:u w:val="single"/>
    </w:rPr>
  </w:style>
  <w:style w:type="paragraph" w:styleId="Quote">
    <w:name w:val="Quote"/>
    <w:basedOn w:val="Normal"/>
    <w:next w:val="Normal"/>
    <w:link w:val="QuoteChar"/>
    <w:uiPriority w:val="29"/>
    <w:qFormat/>
    <w:rsid w:val="00D96CA4"/>
    <w:pPr>
      <w:ind w:left="1134" w:right="1133"/>
    </w:pPr>
  </w:style>
  <w:style w:type="character" w:customStyle="1" w:styleId="QuoteChar">
    <w:name w:val="Quote Char"/>
    <w:basedOn w:val="DefaultParagraphFont"/>
    <w:link w:val="Quote"/>
    <w:uiPriority w:val="29"/>
    <w:rsid w:val="00D96CA4"/>
    <w:rPr>
      <w:rFonts w:ascii="Arial" w:eastAsia="Times New Roman" w:hAnsi="Arial" w:cs="Times New Roman"/>
      <w:sz w:val="28"/>
      <w:szCs w:val="24"/>
      <w:lang w:val="en-GB"/>
    </w:rPr>
  </w:style>
  <w:style w:type="character" w:styleId="SubtleEmphasis">
    <w:name w:val="Subtle Emphasis"/>
    <w:uiPriority w:val="19"/>
    <w:qFormat/>
    <w:rsid w:val="004974B7"/>
    <w:rPr>
      <w:color w:val="003D82"/>
      <w:lang w:val="en-GB"/>
    </w:rPr>
  </w:style>
  <w:style w:type="character" w:styleId="Emphasis">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Template>
  <TotalTime>0</TotalTime>
  <Pages>3</Pages>
  <Words>783</Words>
  <Characters>4312</Characters>
  <Application>Microsoft Office Word</Application>
  <DocSecurity>0</DocSecurity>
  <Lines>35</Lines>
  <Paragraphs>10</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95</cp:revision>
  <cp:lastPrinted>2019-03-15T08:12:00Z</cp:lastPrinted>
  <dcterms:created xsi:type="dcterms:W3CDTF">2019-03-19T10:22:00Z</dcterms:created>
  <dcterms:modified xsi:type="dcterms:W3CDTF">2026-01-15T08:49:00Z</dcterms:modified>
</cp:coreProperties>
</file>