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126D6551"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38C2025A">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6B8FF"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09D48369" w:rsidR="00293070" w:rsidRPr="00197912" w:rsidRDefault="000F5F83"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2C309DBA">
                <wp:simplePos x="0" y="0"/>
                <wp:positionH relativeFrom="column">
                  <wp:posOffset>-737235</wp:posOffset>
                </wp:positionH>
                <wp:positionV relativeFrom="paragraph">
                  <wp:posOffset>229236</wp:posOffset>
                </wp:positionV>
                <wp:extent cx="6867525" cy="1181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181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51D5B" id="Rechteck 10" o:spid="_x0000_s1026" style="position:absolute;margin-left:-58.05pt;margin-top:18.05pt;width:540.75pt;height: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" fillcolor="white [3201]" strokecolor="#003d82" strokeweight="2.25pt"/>
            </w:pict>
          </mc:Fallback>
        </mc:AlternateContent>
      </w:r>
    </w:p>
    <w:p w14:paraId="7CC5E099" w14:textId="77189843" w:rsidR="00197912" w:rsidRPr="00197912" w:rsidRDefault="007C0C44" w:rsidP="0083288C">
      <w:pPr>
        <w:pStyle w:val="Titre"/>
        <w:ind w:left="284" w:hanging="284"/>
      </w:pPr>
      <w:r w:rsidRPr="004974B7">
        <w:t xml:space="preserve">European Blind Union </w:t>
      </w:r>
      <w:r w:rsidR="0022087D">
        <w:t xml:space="preserve">disappointed </w:t>
      </w:r>
      <w:r w:rsidR="00D258BB">
        <w:t>by</w:t>
      </w:r>
      <w:r w:rsidR="0062034F">
        <w:t xml:space="preserve"> </w:t>
      </w:r>
      <w:r w:rsidR="0062034F" w:rsidRPr="0062034F">
        <w:t>results of European Commission's evaluation of EU Lifts Directive</w:t>
      </w:r>
    </w:p>
    <w:p w14:paraId="59EF49F5" w14:textId="77777777" w:rsidR="00E90268" w:rsidRDefault="00E90268" w:rsidP="00C117B4">
      <w:pPr>
        <w:jc w:val="center"/>
        <w:rPr>
          <w:lang w:val="en-GB"/>
        </w:rPr>
      </w:pPr>
    </w:p>
    <w:p w14:paraId="7CC5E09A" w14:textId="3A0D7E96" w:rsidR="008446F0" w:rsidRPr="00197912" w:rsidRDefault="00197912" w:rsidP="00C117B4">
      <w:pPr>
        <w:jc w:val="center"/>
      </w:pPr>
      <w:r>
        <w:t xml:space="preserve">EBU </w:t>
      </w:r>
      <w:r w:rsidR="00107266">
        <w:t>Statement</w:t>
      </w:r>
      <w:r>
        <w:t xml:space="preserve"> | </w:t>
      </w:r>
      <w:r w:rsidR="0062034F">
        <w:t>Febr</w:t>
      </w:r>
      <w:r w:rsidR="00E6531B">
        <w:t>uary</w:t>
      </w:r>
      <w:r w:rsidR="00F164A8">
        <w:t xml:space="preserve"> 202</w:t>
      </w:r>
      <w:r w:rsidR="00E6531B">
        <w:t>6</w:t>
      </w:r>
    </w:p>
    <w:p w14:paraId="7CC5E09B" w14:textId="77777777" w:rsidR="008446F0" w:rsidRPr="001E4A81" w:rsidRDefault="008446F0" w:rsidP="00F61067">
      <w:pPr>
        <w:jc w:val="center"/>
        <w:rPr>
          <w:sz w:val="40"/>
          <w:szCs w:val="36"/>
          <w:lang w:val="en-GB"/>
        </w:rPr>
      </w:pPr>
    </w:p>
    <w:p w14:paraId="13CFF201" w14:textId="755EC109" w:rsidR="000F5F83" w:rsidRDefault="00535EDA" w:rsidP="00535EDA">
      <w:pPr>
        <w:spacing w:after="240"/>
      </w:pPr>
      <w:r w:rsidRPr="00535EDA">
        <w:t xml:space="preserve">On 23 January the European Commission released its </w:t>
      </w:r>
      <w:hyperlink r:id="rId9" w:history="1">
        <w:r w:rsidRPr="00535EDA">
          <w:rPr>
            <w:rStyle w:val="Lienhypertexte"/>
          </w:rPr>
          <w:t>evaluation</w:t>
        </w:r>
      </w:hyperlink>
      <w:r w:rsidRPr="00535EDA">
        <w:t xml:space="preserve"> of the Lifts </w:t>
      </w:r>
      <w:hyperlink r:id="rId10" w:history="1">
        <w:r w:rsidRPr="00740B27">
          <w:rPr>
            <w:rStyle w:val="Lienhypertexte"/>
          </w:rPr>
          <w:t>Directive</w:t>
        </w:r>
      </w:hyperlink>
      <w:r w:rsidR="00070E7A">
        <w:t xml:space="preserve"> </w:t>
      </w:r>
      <w:r w:rsidR="00E029C0">
        <w:t>(2014/33</w:t>
      </w:r>
      <w:r w:rsidR="003A78DD">
        <w:t>/EU)</w:t>
      </w:r>
    </w:p>
    <w:p w14:paraId="33542338" w14:textId="74A8F6B4" w:rsidR="00535EDA" w:rsidRDefault="009D7B93" w:rsidP="00535EDA">
      <w:pPr>
        <w:spacing w:after="240"/>
      </w:pPr>
      <w:r>
        <w:t xml:space="preserve">The European Blind Union (EBU) </w:t>
      </w:r>
      <w:r w:rsidRPr="009D7B93">
        <w:t>participated in the consultations for this evaluation, including t</w:t>
      </w:r>
      <w:r w:rsidR="009351C6">
        <w:t>h</w:t>
      </w:r>
      <w:r w:rsidRPr="009D7B93">
        <w:t xml:space="preserve">rough a targeted interview by the drafters of </w:t>
      </w:r>
      <w:r w:rsidR="00141F36">
        <w:t>the</w:t>
      </w:r>
      <w:r w:rsidRPr="009D7B93">
        <w:t xml:space="preserve"> support study</w:t>
      </w:r>
      <w:r w:rsidR="00141F36">
        <w:t xml:space="preserve">. </w:t>
      </w:r>
      <w:r w:rsidR="009B5962">
        <w:t>Our message was essentially that</w:t>
      </w:r>
      <w:r w:rsidR="002C3778">
        <w:t xml:space="preserve"> a revision of the </w:t>
      </w:r>
      <w:r w:rsidR="00E01B2B">
        <w:t>D</w:t>
      </w:r>
      <w:r w:rsidR="002C3778">
        <w:t>irective was necessary</w:t>
      </w:r>
      <w:r w:rsidR="009930D8">
        <w:t xml:space="preserve"> to </w:t>
      </w:r>
      <w:r w:rsidR="00543A21" w:rsidRPr="00543A21">
        <w:rPr>
          <w:lang w:val="en-GB"/>
        </w:rPr>
        <w:t>strengthen</w:t>
      </w:r>
      <w:r w:rsidR="00543A21">
        <w:rPr>
          <w:lang w:val="en-GB"/>
        </w:rPr>
        <w:t xml:space="preserve"> </w:t>
      </w:r>
      <w:r w:rsidR="008320BD">
        <w:t>the accessibility requirements therein</w:t>
      </w:r>
      <w:r w:rsidR="001D4C89">
        <w:t>. We argued t</w:t>
      </w:r>
      <w:r w:rsidR="009930D8">
        <w:t>hat</w:t>
      </w:r>
      <w:r w:rsidR="001D4C89">
        <w:t>, due to the current lega</w:t>
      </w:r>
      <w:r w:rsidR="00163232">
        <w:t>l state of play,</w:t>
      </w:r>
      <w:r w:rsidR="009930D8">
        <w:t xml:space="preserve"> </w:t>
      </w:r>
      <w:r w:rsidRPr="009D7B93">
        <w:t>the European standard on accessible lifts (EN 81-70)</w:t>
      </w:r>
      <w:r w:rsidR="009E3545">
        <w:t xml:space="preserve"> was not fit for purpose and that the current review of this standard did not appear to be set to </w:t>
      </w:r>
      <w:r w:rsidR="00447CBD">
        <w:t>solve the problem.</w:t>
      </w:r>
    </w:p>
    <w:p w14:paraId="27816FB6" w14:textId="013FDD07" w:rsidR="00B76B79" w:rsidRPr="00B60C55" w:rsidRDefault="0029118D" w:rsidP="00535EDA">
      <w:pPr>
        <w:spacing w:after="240"/>
        <w:rPr>
          <w:b/>
          <w:bCs/>
          <w:color w:val="2F5496" w:themeColor="accent1" w:themeShade="BF"/>
        </w:rPr>
      </w:pPr>
      <w:r w:rsidRPr="00B60C55">
        <w:rPr>
          <w:b/>
          <w:bCs/>
          <w:color w:val="2F5496" w:themeColor="accent1" w:themeShade="BF"/>
        </w:rPr>
        <w:t>Promising elements in the evaluation report</w:t>
      </w:r>
    </w:p>
    <w:p w14:paraId="546C8D24" w14:textId="16C8A271" w:rsidR="002C17BD" w:rsidRDefault="002C17BD" w:rsidP="002C17BD">
      <w:pPr>
        <w:spacing w:after="240"/>
      </w:pPr>
      <w:r>
        <w:t xml:space="preserve">The </w:t>
      </w:r>
      <w:r w:rsidRPr="00C85CFE">
        <w:t xml:space="preserve">very first paragraph of the introduction </w:t>
      </w:r>
      <w:r>
        <w:t>of the evaluation report was promising</w:t>
      </w:r>
      <w:r w:rsidR="0003761D">
        <w:t>. It</w:t>
      </w:r>
      <w:r>
        <w:t xml:space="preserve"> reads</w:t>
      </w:r>
      <w:r w:rsidRPr="00C85CFE">
        <w:t>: “Lifts provide an essential means of comfortable and safe access to different floors in buildings. By making buildings more accessible, they promote inclusivity. Installing lifts supports the social integration of persons with disabilities, including those with temporary impairments or reduced mobility.”</w:t>
      </w:r>
    </w:p>
    <w:p w14:paraId="3BD5BB6E" w14:textId="62043720" w:rsidR="0003761D" w:rsidRDefault="0003761D" w:rsidP="002C17BD">
      <w:pPr>
        <w:spacing w:after="240"/>
      </w:pPr>
      <w:r>
        <w:t>Also promising</w:t>
      </w:r>
      <w:r w:rsidR="00D832AA">
        <w:t xml:space="preserve"> w</w:t>
      </w:r>
      <w:r w:rsidR="003D3B05">
        <w:t xml:space="preserve">ere the following </w:t>
      </w:r>
      <w:r w:rsidR="005C0D62">
        <w:t>observations in the report:</w:t>
      </w:r>
    </w:p>
    <w:p w14:paraId="2DC11AEF" w14:textId="4C31CA4F" w:rsidR="005C0D62" w:rsidRDefault="00BB5046" w:rsidP="00CD69E8">
      <w:pPr>
        <w:pStyle w:val="Paragraphedeliste"/>
        <w:numPr>
          <w:ilvl w:val="0"/>
          <w:numId w:val="2"/>
        </w:numPr>
        <w:spacing w:after="240"/>
      </w:pPr>
      <w:r>
        <w:t>In s</w:t>
      </w:r>
      <w:r w:rsidR="005C0D62">
        <w:t>ection 4.1.2</w:t>
      </w:r>
      <w:r>
        <w:t xml:space="preserve">: </w:t>
      </w:r>
      <w:r w:rsidRPr="00BB5046">
        <w:t xml:space="preserve">“The Lifts Directive’s requirement on the accessibility of lifts for people with disabilities is often interpreted as optional, as in its current wording it applies only to lifts where adaptations are possible. </w:t>
      </w:r>
      <w:r>
        <w:t xml:space="preserve">(...) </w:t>
      </w:r>
      <w:r w:rsidRPr="00BB5046">
        <w:t xml:space="preserve">Consequently, accessibility is not seen as a feature that all lifts should have by default, but rather as an add-on to the basic design. In addition, some Member States have adopted more specific legislation, such as rules on the minimum width of lifts, which risk fragmenting the single market, </w:t>
      </w:r>
      <w:r w:rsidRPr="00BB5046">
        <w:lastRenderedPageBreak/>
        <w:t>and suggest that the Lifts Directive does not ensure the desired level of accessibility. Finally, the evaluation highlighted that for people with disabilities not only safety, but also reliability is essential. When a lift is out of service, people with reduced mobility are prevented from going where they need to go. Currently, the Lifts Directive does not contain any provisions on minimising lift downtime.”</w:t>
      </w:r>
    </w:p>
    <w:p w14:paraId="26ED7AE1" w14:textId="28DA64F0" w:rsidR="003979CB" w:rsidRDefault="003979CB" w:rsidP="00CD69E8">
      <w:pPr>
        <w:pStyle w:val="Paragraphedeliste"/>
        <w:numPr>
          <w:ilvl w:val="0"/>
          <w:numId w:val="2"/>
        </w:numPr>
        <w:spacing w:after="240"/>
      </w:pPr>
      <w:r>
        <w:t xml:space="preserve">And in section </w:t>
      </w:r>
      <w:r w:rsidR="004B2498">
        <w:t xml:space="preserve">4.3: </w:t>
      </w:r>
      <w:r w:rsidR="004B2498" w:rsidRPr="004B2498">
        <w:t>“It could be considered a shortcoming that the scope of the Directive includes the safety, but not the reliability and accessibility of lifts. As discussed in section 4.1, this of the utmost importance for persons with disabilities. Since the Lifts Directive was first adopted in 1995, the EU’s ageing society has made this aspect more relevant. Additionally, society now places a higher value on the inclusion of people with disabilities.”</w:t>
      </w:r>
    </w:p>
    <w:p w14:paraId="09ACC794" w14:textId="6D7D242A" w:rsidR="0069386F" w:rsidRPr="0069386F" w:rsidRDefault="0069386F" w:rsidP="00C7753A">
      <w:pPr>
        <w:spacing w:after="240"/>
        <w:rPr>
          <w:b/>
          <w:bCs/>
          <w:color w:val="2F5496" w:themeColor="accent1" w:themeShade="BF"/>
        </w:rPr>
      </w:pPr>
      <w:r w:rsidRPr="0069386F">
        <w:rPr>
          <w:b/>
          <w:bCs/>
          <w:color w:val="2F5496" w:themeColor="accent1" w:themeShade="BF"/>
        </w:rPr>
        <w:t>Disappointing conclusion</w:t>
      </w:r>
    </w:p>
    <w:p w14:paraId="0EFE94A5" w14:textId="1E47BFC7" w:rsidR="00C7753A" w:rsidRDefault="00381B70" w:rsidP="00C7753A">
      <w:pPr>
        <w:spacing w:after="240"/>
      </w:pPr>
      <w:r>
        <w:t>We are disappointed that</w:t>
      </w:r>
      <w:r w:rsidRPr="00381B70">
        <w:t xml:space="preserve"> the evaluation </w:t>
      </w:r>
      <w:r w:rsidR="007A04F7">
        <w:t xml:space="preserve">neverthless </w:t>
      </w:r>
      <w:r w:rsidRPr="00381B70">
        <w:t>does not come to th</w:t>
      </w:r>
      <w:r w:rsidR="00070E7A">
        <w:t>e</w:t>
      </w:r>
      <w:r w:rsidRPr="00381B70">
        <w:t xml:space="preserve"> conclusion that the </w:t>
      </w:r>
      <w:r w:rsidR="00E01B2B">
        <w:t>D</w:t>
      </w:r>
      <w:r w:rsidRPr="00381B70">
        <w:t xml:space="preserve">irective should be revised and </w:t>
      </w:r>
      <w:r w:rsidR="00B14055">
        <w:t>instead considers</w:t>
      </w:r>
      <w:r w:rsidRPr="00381B70">
        <w:t xml:space="preserve"> it remains fit for purpose. </w:t>
      </w:r>
      <w:r w:rsidR="005A38A4">
        <w:t>The</w:t>
      </w:r>
      <w:r w:rsidR="00070E7A">
        <w:t>re are various consideration</w:t>
      </w:r>
      <w:r w:rsidR="00B917DB">
        <w:t>s</w:t>
      </w:r>
      <w:r w:rsidR="00070E7A">
        <w:t xml:space="preserve"> </w:t>
      </w:r>
      <w:r w:rsidR="00667067">
        <w:t>for that</w:t>
      </w:r>
      <w:r w:rsidR="00070E7A">
        <w:t xml:space="preserve">, </w:t>
      </w:r>
      <w:r w:rsidR="00B917DB">
        <w:t>beyond accessibility</w:t>
      </w:r>
      <w:r w:rsidR="00DD371E">
        <w:t>. B</w:t>
      </w:r>
      <w:r w:rsidR="00B917DB">
        <w:t>ut as far as accessibility to persons with disabilities is concerned, the</w:t>
      </w:r>
      <w:r w:rsidR="005A38A4">
        <w:t xml:space="preserve"> motivation appears to be </w:t>
      </w:r>
      <w:r w:rsidR="00C7753A">
        <w:t>two-fold:</w:t>
      </w:r>
      <w:r w:rsidRPr="00381B70">
        <w:t xml:space="preserve"> </w:t>
      </w:r>
    </w:p>
    <w:p w14:paraId="759843C6" w14:textId="07B39242" w:rsidR="00C7753A" w:rsidRDefault="00381B70" w:rsidP="00CD69E8">
      <w:pPr>
        <w:pStyle w:val="Paragraphedeliste"/>
        <w:numPr>
          <w:ilvl w:val="0"/>
          <w:numId w:val="1"/>
        </w:numPr>
        <w:spacing w:after="240"/>
      </w:pPr>
      <w:r w:rsidRPr="00381B70">
        <w:t>“accessibility does not fall squarely within the scope of the Lifts Directive, which focuses on safety and the single market. Accessibility goes beyond safety and also includes reliability, i.e. lifts’ ability to perform their intended function without fail.</w:t>
      </w:r>
      <w:r w:rsidR="00C7753A">
        <w:t>”</w:t>
      </w:r>
      <w:r w:rsidRPr="00381B70">
        <w:t xml:space="preserve"> </w:t>
      </w:r>
    </w:p>
    <w:p w14:paraId="1749CBE7" w14:textId="11A1FEFE" w:rsidR="006E6F88" w:rsidRDefault="00C7753A" w:rsidP="00CD69E8">
      <w:pPr>
        <w:pStyle w:val="Paragraphedeliste"/>
        <w:numPr>
          <w:ilvl w:val="0"/>
          <w:numId w:val="1"/>
        </w:numPr>
        <w:spacing w:after="240"/>
      </w:pPr>
      <w:r>
        <w:t>”</w:t>
      </w:r>
      <w:r w:rsidR="00381B70" w:rsidRPr="00381B70">
        <w:t>Stakeholders expressed doubts as to whether revising the Directive to address their concerns, and those of others, would produce a net positive outcome for their specific group.”</w:t>
      </w:r>
    </w:p>
    <w:p w14:paraId="65147DF1" w14:textId="1E195000" w:rsidR="0021497A" w:rsidRPr="00423AE7" w:rsidRDefault="00423AE7" w:rsidP="0021497A">
      <w:pPr>
        <w:spacing w:after="240"/>
        <w:rPr>
          <w:b/>
          <w:bCs/>
          <w:color w:val="2F5496" w:themeColor="accent1" w:themeShade="BF"/>
        </w:rPr>
      </w:pPr>
      <w:r w:rsidRPr="00423AE7">
        <w:rPr>
          <w:b/>
          <w:bCs/>
          <w:color w:val="2F5496" w:themeColor="accent1" w:themeShade="BF"/>
        </w:rPr>
        <w:t>Some important takeways</w:t>
      </w:r>
    </w:p>
    <w:p w14:paraId="28196F98" w14:textId="3DE7CA54" w:rsidR="00324CF2" w:rsidRDefault="00F63BC8" w:rsidP="00324CF2">
      <w:pPr>
        <w:spacing w:after="240"/>
      </w:pPr>
      <w:r>
        <w:t xml:space="preserve">Nevertheless, </w:t>
      </w:r>
      <w:r w:rsidR="00D227FA">
        <w:t>there are</w:t>
      </w:r>
      <w:r w:rsidR="00416A0B">
        <w:t xml:space="preserve"> some important</w:t>
      </w:r>
      <w:r>
        <w:t xml:space="preserve"> elements for </w:t>
      </w:r>
      <w:r w:rsidR="0011085E">
        <w:t>EBU’s continued advocacy on the issue of accessibility to lifts</w:t>
      </w:r>
      <w:r w:rsidR="00324CF2">
        <w:t>:</w:t>
      </w:r>
    </w:p>
    <w:p w14:paraId="72DAD5EF" w14:textId="3AE56FF8" w:rsidR="00324CF2" w:rsidRDefault="00D227FA" w:rsidP="00CD69E8">
      <w:pPr>
        <w:pStyle w:val="Paragraphedeliste"/>
        <w:numPr>
          <w:ilvl w:val="0"/>
          <w:numId w:val="3"/>
        </w:numPr>
        <w:spacing w:after="240"/>
      </w:pPr>
      <w:r>
        <w:t>The evaluation</w:t>
      </w:r>
      <w:r w:rsidR="00540AC0">
        <w:t xml:space="preserve"> confirms</w:t>
      </w:r>
      <w:r w:rsidR="00324CF2">
        <w:t xml:space="preserve"> that “the lift sector experiences the same issues as those identified in the evaluation of the Standardisation Regulation, such as lengthy processes for updating standards and difficulties for some stakeholders in making their voices heard in the standardisation process.” This </w:t>
      </w:r>
      <w:r w:rsidR="008A415B">
        <w:t>is something we had been vocal about.</w:t>
      </w:r>
    </w:p>
    <w:p w14:paraId="64AE2DB9" w14:textId="0507B9E2" w:rsidR="00324CF2" w:rsidRDefault="00324CF2" w:rsidP="00CD69E8">
      <w:pPr>
        <w:pStyle w:val="Paragraphedeliste"/>
        <w:numPr>
          <w:ilvl w:val="0"/>
          <w:numId w:val="3"/>
        </w:numPr>
        <w:spacing w:after="240"/>
      </w:pPr>
      <w:r>
        <w:t xml:space="preserve">The evaluation observes that “emerging national rules on lift accessibility are fragmenting the single market” </w:t>
      </w:r>
      <w:r w:rsidR="00AD0F7D">
        <w:t xml:space="preserve">– an observation that calls for </w:t>
      </w:r>
      <w:r w:rsidR="00D227FA">
        <w:t xml:space="preserve">EU </w:t>
      </w:r>
      <w:r w:rsidR="00AD0F7D">
        <w:t>legislation)</w:t>
      </w:r>
      <w:r w:rsidR="00D227FA">
        <w:t>.</w:t>
      </w:r>
    </w:p>
    <w:p w14:paraId="32F9BF85" w14:textId="0F72FA28" w:rsidR="00FC1FCA" w:rsidRPr="0011085E" w:rsidRDefault="00496C79" w:rsidP="00CD69E8">
      <w:pPr>
        <w:pStyle w:val="Paragraphedeliste"/>
        <w:numPr>
          <w:ilvl w:val="0"/>
          <w:numId w:val="3"/>
        </w:numPr>
        <w:spacing w:after="240"/>
      </w:pPr>
      <w:r w:rsidRPr="00496C79">
        <w:lastRenderedPageBreak/>
        <w:t xml:space="preserve">The Commission </w:t>
      </w:r>
      <w:hyperlink r:id="rId11" w:history="1">
        <w:r w:rsidRPr="00834498">
          <w:rPr>
            <w:rStyle w:val="Lienhypertexte"/>
          </w:rPr>
          <w:t>announced</w:t>
        </w:r>
      </w:hyperlink>
      <w:r w:rsidRPr="00496C79">
        <w:t xml:space="preserve"> it will study </w:t>
      </w:r>
      <w:r w:rsidR="00D227FA" w:rsidRPr="00496C79">
        <w:t xml:space="preserve">in more depth </w:t>
      </w:r>
      <w:r w:rsidRPr="00496C79">
        <w:t>four issues identified by the evaluation</w:t>
      </w:r>
      <w:r w:rsidR="00D227FA">
        <w:t xml:space="preserve">, </w:t>
      </w:r>
      <w:r w:rsidRPr="00496C79">
        <w:t xml:space="preserve">including </w:t>
      </w:r>
      <w:r w:rsidR="00D227FA">
        <w:t>a</w:t>
      </w:r>
      <w:r w:rsidRPr="00496C79">
        <w:t>ccessibility of lifts for persons with disabilities.</w:t>
      </w:r>
    </w:p>
    <w:p w14:paraId="7CC5E0DB" w14:textId="77777777" w:rsidR="007C528B" w:rsidRPr="00377361" w:rsidRDefault="006C4F92" w:rsidP="00F74CB0">
      <w:pPr>
        <w:pStyle w:val="Sous-titre"/>
        <w:ind w:left="0" w:firstLine="0"/>
      </w:pPr>
      <w:r w:rsidRPr="00377361">
        <w:t>A</w:t>
      </w:r>
      <w:r w:rsidR="00377361" w:rsidRPr="00377361">
        <w:t>bout EBU</w:t>
      </w:r>
    </w:p>
    <w:p w14:paraId="7CC5E0DD" w14:textId="7A6AEB0B" w:rsidR="006C4F92" w:rsidRDefault="006C4F92" w:rsidP="002802DA">
      <w:pPr>
        <w:spacing w:after="240"/>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EB2816">
        <w:rPr>
          <w:lang w:val="en-GB"/>
        </w:rPr>
        <w:t>4</w:t>
      </w:r>
      <w:r w:rsidR="00EB2816" w:rsidRPr="00EB2816">
        <w:rPr>
          <w:lang w:val="en-GB"/>
        </w:rPr>
        <w:t>0</w:t>
      </w:r>
      <w:r w:rsidRPr="00EB2816">
        <w:rPr>
          <w:lang w:val="en-GB"/>
        </w:rPr>
        <w:t xml:space="preserve"> national members including organisations from 2</w:t>
      </w:r>
      <w:r w:rsidR="00EB2816" w:rsidRPr="00EB2816">
        <w:rPr>
          <w:lang w:val="en-GB"/>
        </w:rPr>
        <w:t>6</w:t>
      </w:r>
      <w:r w:rsidRPr="00EB2816">
        <w:rPr>
          <w:lang w:val="en-GB"/>
        </w:rPr>
        <w:t xml:space="preserve"> European Union</w:t>
      </w:r>
      <w:r w:rsidRPr="006C4F92">
        <w:rPr>
          <w:lang w:val="en-GB"/>
        </w:rPr>
        <w:t xml:space="preserve"> member states, candidate countries and other countries in geographical Europe.</w:t>
      </w:r>
    </w:p>
    <w:p w14:paraId="66CB9A8C" w14:textId="72C7FA1B" w:rsidR="00894872" w:rsidRPr="006C4F92" w:rsidRDefault="00894872" w:rsidP="002802DA">
      <w:pPr>
        <w:spacing w:after="240"/>
        <w:rPr>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75CA7B79">
                <wp:simplePos x="0" y="0"/>
                <wp:positionH relativeFrom="margin">
                  <wp:posOffset>-688975</wp:posOffset>
                </wp:positionH>
                <wp:positionV relativeFrom="paragraph">
                  <wp:posOffset>124460</wp:posOffset>
                </wp:positionV>
                <wp:extent cx="6791325" cy="1383030"/>
                <wp:effectExtent l="19050" t="19050" r="28575" b="26670"/>
                <wp:wrapNone/>
                <wp:docPr id="11" name="Rechteck 11"/>
                <wp:cNvGraphicFramePr/>
                <a:graphic xmlns:a="http://schemas.openxmlformats.org/drawingml/2006/main">
                  <a:graphicData uri="http://schemas.microsoft.com/office/word/2010/wordprocessingShape">
                    <wps:wsp>
                      <wps:cNvSpPr/>
                      <wps:spPr>
                        <a:xfrm>
                          <a:off x="0" y="0"/>
                          <a:ext cx="6791325" cy="138303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2" w:history="1">
                              <w:r w:rsidR="006C4F92" w:rsidRPr="00017D4A">
                                <w:rPr>
                                  <w:color w:val="003D82"/>
                                  <w:lang w:val="en-GB"/>
                                </w:rPr>
                                <w:t>ebu@euroblind.org</w:t>
                              </w:r>
                            </w:hyperlink>
                            <w:r w:rsidR="00B501D1" w:rsidRPr="00017D4A">
                              <w:rPr>
                                <w:color w:val="003D82"/>
                                <w:lang w:val="en-GB"/>
                              </w:rPr>
                              <w:t xml:space="preserve"> | </w:t>
                            </w:r>
                            <w:hyperlink r:id="rId13"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25pt;margin-top:9.8pt;width:534.75pt;height:108.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" fillcolor="white [3201]" strokecolor="#003d82" strokeweight="2.25pt">
                <v:textbox>
                  <w:txbxContent>
                    <w:p w14:paraId="7CC5E0EE" w14:textId="77777777" w:rsidR="006C4F92" w:rsidRPr="004974B7" w:rsidRDefault="006C4F92" w:rsidP="001171D5">
                      <w:pPr>
                        <w:jc w:val="center"/>
                        <w:rPr>
                          <w:rStyle w:val="Accentuation"/>
                        </w:rPr>
                      </w:pPr>
                      <w:r w:rsidRPr="004974B7">
                        <w:rPr>
                          <w:rStyle w:val="Accentuation"/>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4" w:history="1">
                        <w:r w:rsidR="006C4F92" w:rsidRPr="00017D4A">
                          <w:rPr>
                            <w:color w:val="003D82"/>
                            <w:lang w:val="en-GB"/>
                          </w:rPr>
                          <w:t>ebu@euroblind.org</w:t>
                        </w:r>
                      </w:hyperlink>
                      <w:r w:rsidR="00B501D1" w:rsidRPr="00017D4A">
                        <w:rPr>
                          <w:color w:val="003D82"/>
                          <w:lang w:val="en-GB"/>
                        </w:rPr>
                        <w:t xml:space="preserve"> | </w:t>
                      </w:r>
                      <w:hyperlink r:id="rId15"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p>
    <w:p w14:paraId="7CC5E0DE" w14:textId="557121B8" w:rsidR="00B501D1" w:rsidRPr="007C528B" w:rsidRDefault="00B501D1" w:rsidP="00982244">
      <w:pPr>
        <w:rPr>
          <w:sz w:val="20"/>
          <w:lang w:val="en-GB"/>
        </w:rPr>
      </w:pPr>
    </w:p>
    <w:sectPr w:rsidR="00B501D1" w:rsidRPr="007C528B" w:rsidSect="002E2FF4">
      <w:headerReference w:type="default" r:id="rId16"/>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80893" w14:textId="77777777" w:rsidR="007D45C9" w:rsidRDefault="007D45C9" w:rsidP="00D17D8A">
      <w:r>
        <w:separator/>
      </w:r>
    </w:p>
  </w:endnote>
  <w:endnote w:type="continuationSeparator" w:id="0">
    <w:p w14:paraId="40C8DDD5" w14:textId="77777777" w:rsidR="007D45C9" w:rsidRDefault="007D45C9"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D02C" w14:textId="77777777" w:rsidR="007D45C9" w:rsidRDefault="007D45C9" w:rsidP="00D17D8A">
      <w:r>
        <w:separator/>
      </w:r>
    </w:p>
  </w:footnote>
  <w:footnote w:type="continuationSeparator" w:id="0">
    <w:p w14:paraId="19ABF2BE" w14:textId="77777777" w:rsidR="007D45C9" w:rsidRDefault="007D45C9"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7869BF81"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w:t>
        </w:r>
        <w:r w:rsidR="00107266">
          <w:rPr>
            <w:sz w:val="24"/>
            <w:szCs w:val="24"/>
          </w:rPr>
          <w:t>Statement</w:t>
        </w:r>
        <w:r w:rsidR="00BE6F10">
          <w:rPr>
            <w:sz w:val="24"/>
            <w:szCs w:val="24"/>
          </w:rPr>
          <w:t xml:space="preserve"> </w:t>
        </w:r>
        <w:r w:rsidR="00356F04">
          <w:rPr>
            <w:sz w:val="24"/>
            <w:szCs w:val="24"/>
          </w:rPr>
          <w:t>–</w:t>
        </w:r>
        <w:r w:rsidR="00BE6F10">
          <w:rPr>
            <w:sz w:val="24"/>
            <w:szCs w:val="24"/>
          </w:rPr>
          <w:t xml:space="preserve"> </w:t>
        </w:r>
        <w:r w:rsidR="000F5F83">
          <w:rPr>
            <w:sz w:val="24"/>
            <w:szCs w:val="24"/>
          </w:rPr>
          <w:t>Febr</w:t>
        </w:r>
        <w:r w:rsidR="001910B3">
          <w:rPr>
            <w:sz w:val="24"/>
            <w:szCs w:val="24"/>
          </w:rPr>
          <w:t>uary 2026</w:t>
        </w:r>
      </w:p>
      <w:p w14:paraId="7CC5E0EC" w14:textId="77777777" w:rsidR="00106853" w:rsidRPr="00106853" w:rsidRDefault="00106853">
        <w:pPr>
          <w:pStyle w:val="En-tte"/>
          <w:rPr>
            <w:sz w:val="24"/>
            <w:szCs w:val="24"/>
          </w:rPr>
        </w:pPr>
      </w:p>
      <w:p w14:paraId="7CC5E0ED"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67FD5"/>
    <w:multiLevelType w:val="hybridMultilevel"/>
    <w:tmpl w:val="A5844BF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0549AC"/>
    <w:multiLevelType w:val="hybridMultilevel"/>
    <w:tmpl w:val="156C2F8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8A0DDA"/>
    <w:multiLevelType w:val="hybridMultilevel"/>
    <w:tmpl w:val="0AF0E01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902513">
    <w:abstractNumId w:val="2"/>
  </w:num>
  <w:num w:numId="2" w16cid:durableId="995304325">
    <w:abstractNumId w:val="1"/>
  </w:num>
  <w:num w:numId="3" w16cid:durableId="204297667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58C"/>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61D"/>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0E7A"/>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27A"/>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C7D2C"/>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5F83"/>
    <w:rsid w:val="000F6A5E"/>
    <w:rsid w:val="001003D4"/>
    <w:rsid w:val="0010043D"/>
    <w:rsid w:val="001009AE"/>
    <w:rsid w:val="00100BB3"/>
    <w:rsid w:val="001013C4"/>
    <w:rsid w:val="00101CD6"/>
    <w:rsid w:val="00106761"/>
    <w:rsid w:val="00106815"/>
    <w:rsid w:val="00106853"/>
    <w:rsid w:val="00107266"/>
    <w:rsid w:val="0011056A"/>
    <w:rsid w:val="0011085E"/>
    <w:rsid w:val="00112220"/>
    <w:rsid w:val="00112E6A"/>
    <w:rsid w:val="001144E4"/>
    <w:rsid w:val="001161C9"/>
    <w:rsid w:val="001171D5"/>
    <w:rsid w:val="00130813"/>
    <w:rsid w:val="0013329B"/>
    <w:rsid w:val="0013397B"/>
    <w:rsid w:val="0013717A"/>
    <w:rsid w:val="00140ED9"/>
    <w:rsid w:val="001412EE"/>
    <w:rsid w:val="00141F36"/>
    <w:rsid w:val="0014323B"/>
    <w:rsid w:val="00144575"/>
    <w:rsid w:val="00145053"/>
    <w:rsid w:val="0015158E"/>
    <w:rsid w:val="00151E0E"/>
    <w:rsid w:val="00153869"/>
    <w:rsid w:val="00154978"/>
    <w:rsid w:val="00155A4C"/>
    <w:rsid w:val="0016203B"/>
    <w:rsid w:val="001623D7"/>
    <w:rsid w:val="00162CE7"/>
    <w:rsid w:val="00163232"/>
    <w:rsid w:val="001725D1"/>
    <w:rsid w:val="00176555"/>
    <w:rsid w:val="001769DD"/>
    <w:rsid w:val="00181954"/>
    <w:rsid w:val="00181D3D"/>
    <w:rsid w:val="0018210B"/>
    <w:rsid w:val="00182A84"/>
    <w:rsid w:val="00184144"/>
    <w:rsid w:val="00185101"/>
    <w:rsid w:val="0018668A"/>
    <w:rsid w:val="001871A5"/>
    <w:rsid w:val="00187498"/>
    <w:rsid w:val="00187B16"/>
    <w:rsid w:val="001910B3"/>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4C89"/>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497A"/>
    <w:rsid w:val="0021606F"/>
    <w:rsid w:val="00216AB1"/>
    <w:rsid w:val="002176BE"/>
    <w:rsid w:val="00217C6B"/>
    <w:rsid w:val="0022087D"/>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0318"/>
    <w:rsid w:val="00262085"/>
    <w:rsid w:val="00262FA9"/>
    <w:rsid w:val="002646EB"/>
    <w:rsid w:val="00266A71"/>
    <w:rsid w:val="00270A5A"/>
    <w:rsid w:val="00270F67"/>
    <w:rsid w:val="00273AAC"/>
    <w:rsid w:val="002748B1"/>
    <w:rsid w:val="002758CA"/>
    <w:rsid w:val="002802DA"/>
    <w:rsid w:val="00281545"/>
    <w:rsid w:val="00283DBF"/>
    <w:rsid w:val="002866F2"/>
    <w:rsid w:val="0029118D"/>
    <w:rsid w:val="002911F0"/>
    <w:rsid w:val="00291367"/>
    <w:rsid w:val="00293070"/>
    <w:rsid w:val="00293D32"/>
    <w:rsid w:val="002946F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17BD"/>
    <w:rsid w:val="002C223A"/>
    <w:rsid w:val="002C3084"/>
    <w:rsid w:val="002C3156"/>
    <w:rsid w:val="002C3778"/>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108C5"/>
    <w:rsid w:val="0031127F"/>
    <w:rsid w:val="00312ACC"/>
    <w:rsid w:val="003135DA"/>
    <w:rsid w:val="00313C3C"/>
    <w:rsid w:val="00314089"/>
    <w:rsid w:val="00314481"/>
    <w:rsid w:val="0031509C"/>
    <w:rsid w:val="003151AB"/>
    <w:rsid w:val="00315370"/>
    <w:rsid w:val="003165F1"/>
    <w:rsid w:val="0031704E"/>
    <w:rsid w:val="00320BEF"/>
    <w:rsid w:val="00322563"/>
    <w:rsid w:val="00322745"/>
    <w:rsid w:val="00323D18"/>
    <w:rsid w:val="00324CF2"/>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5D78"/>
    <w:rsid w:val="00377361"/>
    <w:rsid w:val="003778B2"/>
    <w:rsid w:val="00380623"/>
    <w:rsid w:val="00381B70"/>
    <w:rsid w:val="00381EA7"/>
    <w:rsid w:val="003826B3"/>
    <w:rsid w:val="00384322"/>
    <w:rsid w:val="00384F42"/>
    <w:rsid w:val="00387AD6"/>
    <w:rsid w:val="00391664"/>
    <w:rsid w:val="00395DAB"/>
    <w:rsid w:val="003979CB"/>
    <w:rsid w:val="00397DB2"/>
    <w:rsid w:val="003A4336"/>
    <w:rsid w:val="003A483A"/>
    <w:rsid w:val="003A78DD"/>
    <w:rsid w:val="003B10EF"/>
    <w:rsid w:val="003B31F8"/>
    <w:rsid w:val="003B53C1"/>
    <w:rsid w:val="003C0F1D"/>
    <w:rsid w:val="003C2FD1"/>
    <w:rsid w:val="003C6BDC"/>
    <w:rsid w:val="003D3B05"/>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6A0B"/>
    <w:rsid w:val="004173E1"/>
    <w:rsid w:val="00420635"/>
    <w:rsid w:val="00420BD1"/>
    <w:rsid w:val="00420BEE"/>
    <w:rsid w:val="00421D1B"/>
    <w:rsid w:val="00423AE7"/>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CBD"/>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87132"/>
    <w:rsid w:val="0049216D"/>
    <w:rsid w:val="00492493"/>
    <w:rsid w:val="0049384A"/>
    <w:rsid w:val="00496C79"/>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498"/>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E66F3"/>
    <w:rsid w:val="004E7506"/>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5EDA"/>
    <w:rsid w:val="00536C68"/>
    <w:rsid w:val="0053788F"/>
    <w:rsid w:val="00540AC0"/>
    <w:rsid w:val="00542499"/>
    <w:rsid w:val="00543246"/>
    <w:rsid w:val="00543A21"/>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0199"/>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38A4"/>
    <w:rsid w:val="005A4690"/>
    <w:rsid w:val="005A53E5"/>
    <w:rsid w:val="005A5805"/>
    <w:rsid w:val="005B2B45"/>
    <w:rsid w:val="005B2BE8"/>
    <w:rsid w:val="005B4622"/>
    <w:rsid w:val="005B5D87"/>
    <w:rsid w:val="005B7DC8"/>
    <w:rsid w:val="005C0BCA"/>
    <w:rsid w:val="005C0D62"/>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3D54"/>
    <w:rsid w:val="00604897"/>
    <w:rsid w:val="0060586C"/>
    <w:rsid w:val="006067F5"/>
    <w:rsid w:val="00606917"/>
    <w:rsid w:val="00606AE0"/>
    <w:rsid w:val="00610639"/>
    <w:rsid w:val="006107E7"/>
    <w:rsid w:val="00612ED5"/>
    <w:rsid w:val="006143B8"/>
    <w:rsid w:val="006149FF"/>
    <w:rsid w:val="0061773D"/>
    <w:rsid w:val="0062034F"/>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067"/>
    <w:rsid w:val="00667818"/>
    <w:rsid w:val="006739E6"/>
    <w:rsid w:val="006749BC"/>
    <w:rsid w:val="00676179"/>
    <w:rsid w:val="0068155C"/>
    <w:rsid w:val="006828FA"/>
    <w:rsid w:val="0068337D"/>
    <w:rsid w:val="00683DCD"/>
    <w:rsid w:val="0068418A"/>
    <w:rsid w:val="00684470"/>
    <w:rsid w:val="00687385"/>
    <w:rsid w:val="00687650"/>
    <w:rsid w:val="0069260A"/>
    <w:rsid w:val="0069386F"/>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E6F88"/>
    <w:rsid w:val="006F134A"/>
    <w:rsid w:val="006F161B"/>
    <w:rsid w:val="006F1A48"/>
    <w:rsid w:val="006F2BD5"/>
    <w:rsid w:val="006F35F2"/>
    <w:rsid w:val="006F3CB0"/>
    <w:rsid w:val="006F52B6"/>
    <w:rsid w:val="006F5960"/>
    <w:rsid w:val="00702452"/>
    <w:rsid w:val="007025C3"/>
    <w:rsid w:val="007031E5"/>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37FB0"/>
    <w:rsid w:val="00740912"/>
    <w:rsid w:val="00740A27"/>
    <w:rsid w:val="00740B27"/>
    <w:rsid w:val="00741BA6"/>
    <w:rsid w:val="007425D3"/>
    <w:rsid w:val="00743494"/>
    <w:rsid w:val="007443F6"/>
    <w:rsid w:val="007446BC"/>
    <w:rsid w:val="007468BA"/>
    <w:rsid w:val="007476A6"/>
    <w:rsid w:val="007513AD"/>
    <w:rsid w:val="00751FBD"/>
    <w:rsid w:val="00752701"/>
    <w:rsid w:val="00753EB8"/>
    <w:rsid w:val="007542C9"/>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87C06"/>
    <w:rsid w:val="007974EC"/>
    <w:rsid w:val="007A00D5"/>
    <w:rsid w:val="007A0477"/>
    <w:rsid w:val="007A04F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5C9"/>
    <w:rsid w:val="007D4C6B"/>
    <w:rsid w:val="007D54B3"/>
    <w:rsid w:val="007D602D"/>
    <w:rsid w:val="007D6B97"/>
    <w:rsid w:val="007D7B7B"/>
    <w:rsid w:val="007D7BAA"/>
    <w:rsid w:val="007E3367"/>
    <w:rsid w:val="007E3CA3"/>
    <w:rsid w:val="007E5810"/>
    <w:rsid w:val="007E609C"/>
    <w:rsid w:val="007E60E0"/>
    <w:rsid w:val="007F1298"/>
    <w:rsid w:val="007F3411"/>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0BD"/>
    <w:rsid w:val="0083288C"/>
    <w:rsid w:val="00832F9C"/>
    <w:rsid w:val="008339A1"/>
    <w:rsid w:val="00833D12"/>
    <w:rsid w:val="00834498"/>
    <w:rsid w:val="00840851"/>
    <w:rsid w:val="00840894"/>
    <w:rsid w:val="008429AD"/>
    <w:rsid w:val="008440C9"/>
    <w:rsid w:val="008446F0"/>
    <w:rsid w:val="00846CCB"/>
    <w:rsid w:val="0084755D"/>
    <w:rsid w:val="00852C2D"/>
    <w:rsid w:val="00853238"/>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23FC"/>
    <w:rsid w:val="00884929"/>
    <w:rsid w:val="00886381"/>
    <w:rsid w:val="00886F1C"/>
    <w:rsid w:val="00887789"/>
    <w:rsid w:val="00892F74"/>
    <w:rsid w:val="00894872"/>
    <w:rsid w:val="00894CC8"/>
    <w:rsid w:val="0089515F"/>
    <w:rsid w:val="008A1778"/>
    <w:rsid w:val="008A1C05"/>
    <w:rsid w:val="008A2430"/>
    <w:rsid w:val="008A415B"/>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3F84"/>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51C6"/>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0D8"/>
    <w:rsid w:val="0099338C"/>
    <w:rsid w:val="00996EA7"/>
    <w:rsid w:val="009A0728"/>
    <w:rsid w:val="009A0A71"/>
    <w:rsid w:val="009A28F6"/>
    <w:rsid w:val="009A34DE"/>
    <w:rsid w:val="009A417A"/>
    <w:rsid w:val="009A670F"/>
    <w:rsid w:val="009A6B39"/>
    <w:rsid w:val="009A6EC6"/>
    <w:rsid w:val="009B1EFD"/>
    <w:rsid w:val="009B29E1"/>
    <w:rsid w:val="009B3722"/>
    <w:rsid w:val="009B5962"/>
    <w:rsid w:val="009B60B1"/>
    <w:rsid w:val="009B7E16"/>
    <w:rsid w:val="009C2D6B"/>
    <w:rsid w:val="009C47F3"/>
    <w:rsid w:val="009C4AEC"/>
    <w:rsid w:val="009D0E49"/>
    <w:rsid w:val="009D18DA"/>
    <w:rsid w:val="009D1984"/>
    <w:rsid w:val="009D1D29"/>
    <w:rsid w:val="009D3B08"/>
    <w:rsid w:val="009D52E6"/>
    <w:rsid w:val="009D58AF"/>
    <w:rsid w:val="009D5A11"/>
    <w:rsid w:val="009D7B93"/>
    <w:rsid w:val="009E014D"/>
    <w:rsid w:val="009E0E0F"/>
    <w:rsid w:val="009E18CE"/>
    <w:rsid w:val="009E26B9"/>
    <w:rsid w:val="009E30AE"/>
    <w:rsid w:val="009E348F"/>
    <w:rsid w:val="009E3545"/>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07FD"/>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172"/>
    <w:rsid w:val="00AA1F13"/>
    <w:rsid w:val="00AA391A"/>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0F7D"/>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4055"/>
    <w:rsid w:val="00B168E4"/>
    <w:rsid w:val="00B16B48"/>
    <w:rsid w:val="00B1736E"/>
    <w:rsid w:val="00B17AC8"/>
    <w:rsid w:val="00B20580"/>
    <w:rsid w:val="00B214C8"/>
    <w:rsid w:val="00B22001"/>
    <w:rsid w:val="00B265CA"/>
    <w:rsid w:val="00B26820"/>
    <w:rsid w:val="00B31ACC"/>
    <w:rsid w:val="00B324AD"/>
    <w:rsid w:val="00B32D27"/>
    <w:rsid w:val="00B33295"/>
    <w:rsid w:val="00B35AB1"/>
    <w:rsid w:val="00B37FE3"/>
    <w:rsid w:val="00B4137D"/>
    <w:rsid w:val="00B421F8"/>
    <w:rsid w:val="00B42C21"/>
    <w:rsid w:val="00B42E10"/>
    <w:rsid w:val="00B435E4"/>
    <w:rsid w:val="00B45A1D"/>
    <w:rsid w:val="00B46257"/>
    <w:rsid w:val="00B501D1"/>
    <w:rsid w:val="00B51D86"/>
    <w:rsid w:val="00B525C3"/>
    <w:rsid w:val="00B55DAD"/>
    <w:rsid w:val="00B60C55"/>
    <w:rsid w:val="00B60CB8"/>
    <w:rsid w:val="00B63F11"/>
    <w:rsid w:val="00B650FA"/>
    <w:rsid w:val="00B65D56"/>
    <w:rsid w:val="00B66177"/>
    <w:rsid w:val="00B66DE6"/>
    <w:rsid w:val="00B70DDE"/>
    <w:rsid w:val="00B71883"/>
    <w:rsid w:val="00B7219E"/>
    <w:rsid w:val="00B752C4"/>
    <w:rsid w:val="00B76B79"/>
    <w:rsid w:val="00B77371"/>
    <w:rsid w:val="00B81212"/>
    <w:rsid w:val="00B81ACA"/>
    <w:rsid w:val="00B81B84"/>
    <w:rsid w:val="00B8373E"/>
    <w:rsid w:val="00B83E33"/>
    <w:rsid w:val="00B84D1A"/>
    <w:rsid w:val="00B91796"/>
    <w:rsid w:val="00B917DB"/>
    <w:rsid w:val="00B9294A"/>
    <w:rsid w:val="00B93166"/>
    <w:rsid w:val="00B94EE7"/>
    <w:rsid w:val="00BA0F02"/>
    <w:rsid w:val="00BA25FE"/>
    <w:rsid w:val="00BA32F2"/>
    <w:rsid w:val="00BB1CAD"/>
    <w:rsid w:val="00BB5046"/>
    <w:rsid w:val="00BB570A"/>
    <w:rsid w:val="00BB5BD3"/>
    <w:rsid w:val="00BB70F9"/>
    <w:rsid w:val="00BB7243"/>
    <w:rsid w:val="00BB7A1F"/>
    <w:rsid w:val="00BB7C00"/>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A09"/>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53A"/>
    <w:rsid w:val="00C77736"/>
    <w:rsid w:val="00C811E5"/>
    <w:rsid w:val="00C817A8"/>
    <w:rsid w:val="00C84C96"/>
    <w:rsid w:val="00C8510D"/>
    <w:rsid w:val="00C851D1"/>
    <w:rsid w:val="00C85CFE"/>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61D4"/>
    <w:rsid w:val="00CB30B2"/>
    <w:rsid w:val="00CB3615"/>
    <w:rsid w:val="00CC1268"/>
    <w:rsid w:val="00CC1D88"/>
    <w:rsid w:val="00CC2F0A"/>
    <w:rsid w:val="00CC606B"/>
    <w:rsid w:val="00CC6210"/>
    <w:rsid w:val="00CC639C"/>
    <w:rsid w:val="00CD08E1"/>
    <w:rsid w:val="00CD21BF"/>
    <w:rsid w:val="00CD2245"/>
    <w:rsid w:val="00CD2494"/>
    <w:rsid w:val="00CD39F8"/>
    <w:rsid w:val="00CD53B1"/>
    <w:rsid w:val="00CD69E8"/>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227FA"/>
    <w:rsid w:val="00D258BB"/>
    <w:rsid w:val="00D3008D"/>
    <w:rsid w:val="00D3288A"/>
    <w:rsid w:val="00D33EAB"/>
    <w:rsid w:val="00D35040"/>
    <w:rsid w:val="00D36611"/>
    <w:rsid w:val="00D3681D"/>
    <w:rsid w:val="00D36E5F"/>
    <w:rsid w:val="00D40094"/>
    <w:rsid w:val="00D4093D"/>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32AA"/>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371E"/>
    <w:rsid w:val="00DD5F52"/>
    <w:rsid w:val="00DE50AD"/>
    <w:rsid w:val="00DE6192"/>
    <w:rsid w:val="00DF21CF"/>
    <w:rsid w:val="00DF28A1"/>
    <w:rsid w:val="00DF77FA"/>
    <w:rsid w:val="00DF785E"/>
    <w:rsid w:val="00E00C7D"/>
    <w:rsid w:val="00E01B2B"/>
    <w:rsid w:val="00E02894"/>
    <w:rsid w:val="00E029C0"/>
    <w:rsid w:val="00E02B0A"/>
    <w:rsid w:val="00E03722"/>
    <w:rsid w:val="00E0381A"/>
    <w:rsid w:val="00E03DCF"/>
    <w:rsid w:val="00E05648"/>
    <w:rsid w:val="00E05CE6"/>
    <w:rsid w:val="00E060FB"/>
    <w:rsid w:val="00E06845"/>
    <w:rsid w:val="00E12EF4"/>
    <w:rsid w:val="00E139E9"/>
    <w:rsid w:val="00E147C2"/>
    <w:rsid w:val="00E159FB"/>
    <w:rsid w:val="00E1622E"/>
    <w:rsid w:val="00E201EC"/>
    <w:rsid w:val="00E2090C"/>
    <w:rsid w:val="00E24C3B"/>
    <w:rsid w:val="00E24D44"/>
    <w:rsid w:val="00E2513B"/>
    <w:rsid w:val="00E25864"/>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31B"/>
    <w:rsid w:val="00E656C9"/>
    <w:rsid w:val="00E6598A"/>
    <w:rsid w:val="00E66A6A"/>
    <w:rsid w:val="00E717A2"/>
    <w:rsid w:val="00E71D22"/>
    <w:rsid w:val="00E7367B"/>
    <w:rsid w:val="00E761BA"/>
    <w:rsid w:val="00E81AC1"/>
    <w:rsid w:val="00E8368B"/>
    <w:rsid w:val="00E83B2D"/>
    <w:rsid w:val="00E83BF0"/>
    <w:rsid w:val="00E86501"/>
    <w:rsid w:val="00E86779"/>
    <w:rsid w:val="00E90268"/>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39EE"/>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6B05"/>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BC8"/>
    <w:rsid w:val="00F63FB3"/>
    <w:rsid w:val="00F645B5"/>
    <w:rsid w:val="00F6637F"/>
    <w:rsid w:val="00F6663F"/>
    <w:rsid w:val="00F66FA0"/>
    <w:rsid w:val="00F70B4F"/>
    <w:rsid w:val="00F70B71"/>
    <w:rsid w:val="00F72DE4"/>
    <w:rsid w:val="00F74CB0"/>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12E"/>
    <w:rsid w:val="00FB226E"/>
    <w:rsid w:val="00FB2C99"/>
    <w:rsid w:val="00FB3060"/>
    <w:rsid w:val="00FB33FD"/>
    <w:rsid w:val="00FB44C2"/>
    <w:rsid w:val="00FB49C7"/>
    <w:rsid w:val="00FB5A8D"/>
    <w:rsid w:val="00FB64D1"/>
    <w:rsid w:val="00FB672E"/>
    <w:rsid w:val="00FC1FCA"/>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Titre1">
    <w:name w:val="heading 1"/>
    <w:basedOn w:val="Normal"/>
    <w:next w:val="Normal"/>
    <w:link w:val="Titre1Car"/>
    <w:qFormat/>
    <w:rsid w:val="00830C44"/>
    <w:pPr>
      <w:keepNext/>
      <w:ind w:left="851" w:hanging="851"/>
      <w:outlineLvl w:val="0"/>
    </w:pPr>
    <w:rPr>
      <w:rFonts w:cs="Arial"/>
      <w:b/>
      <w:bCs/>
      <w:color w:val="003D82"/>
      <w:sz w:val="36"/>
      <w:lang w:val="en-GB"/>
    </w:rPr>
  </w:style>
  <w:style w:type="paragraph" w:styleId="Titre2">
    <w:name w:val="heading 2"/>
    <w:basedOn w:val="Paragraphedeliste"/>
    <w:next w:val="Normal"/>
    <w:link w:val="Titre2Car"/>
    <w:uiPriority w:val="9"/>
    <w:unhideWhenUsed/>
    <w:qFormat/>
    <w:rsid w:val="00B501D1"/>
    <w:pPr>
      <w:ind w:left="1134" w:hanging="1134"/>
      <w:outlineLvl w:val="1"/>
    </w:pPr>
    <w:rPr>
      <w:b/>
      <w:color w:val="003D82"/>
      <w:sz w:val="36"/>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30C44"/>
    <w:rPr>
      <w:rFonts w:cs="Arial"/>
      <w:b/>
      <w:bCs/>
      <w:color w:val="003D82"/>
      <w:sz w:val="36"/>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B501D1"/>
    <w:rPr>
      <w:b/>
      <w:color w:val="003D82"/>
      <w:sz w:val="36"/>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53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blin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u@eurobli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gle-market-economy.ec.europa.eu/sectors/mechanical-engineering/lifts_en" TargetMode="External"/><Relationship Id="rId5" Type="http://schemas.openxmlformats.org/officeDocument/2006/relationships/webSettings" Target="webSettings.xml"/><Relationship Id="rId15" Type="http://schemas.openxmlformats.org/officeDocument/2006/relationships/hyperlink" Target="http://www.euroblind.org" TargetMode="External"/><Relationship Id="rId10" Type="http://schemas.openxmlformats.org/officeDocument/2006/relationships/hyperlink" Target="https://eur-lex.europa.eu/legal-content/EN/TXT/?uri=CELEX:32014L0033" TargetMode="External"/><Relationship Id="rId4" Type="http://schemas.openxmlformats.org/officeDocument/2006/relationships/settings" Target="settings.xml"/><Relationship Id="rId9" Type="http://schemas.openxmlformats.org/officeDocument/2006/relationships/hyperlink" Target="https://ec.europa.eu/info/law/better-regulation/have-your-say/initiatives/14131-Lift-safety-Evaluation-of-the-Lifts-Directive_en" TargetMode="External"/><Relationship Id="rId14" Type="http://schemas.openxmlformats.org/officeDocument/2006/relationships/hyperlink" Target="mailto:ebu@eurobli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1</TotalTime>
  <Pages>3</Pages>
  <Words>787</Words>
  <Characters>4331</Characters>
  <Application>Microsoft Office Word</Application>
  <DocSecurity>0</DocSecurity>
  <Lines>36</Lines>
  <Paragraphs>10</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Gary MAY</cp:lastModifiedBy>
  <cp:revision>3</cp:revision>
  <cp:lastPrinted>2019-03-15T08:12:00Z</cp:lastPrinted>
  <dcterms:created xsi:type="dcterms:W3CDTF">2026-02-09T12:30:00Z</dcterms:created>
  <dcterms:modified xsi:type="dcterms:W3CDTF">2026-02-10T09:39:00Z</dcterms:modified>
</cp:coreProperties>
</file>