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6EB7" w14:textId="77777777" w:rsidR="001F54C7" w:rsidRPr="00733FF6" w:rsidRDefault="007D18D3" w:rsidP="00733FF6">
      <w:pPr>
        <w:pStyle w:val="Titre1"/>
        <w:spacing w:before="120" w:after="120"/>
        <w:jc w:val="center"/>
        <w:rPr>
          <w:sz w:val="28"/>
          <w:szCs w:val="28"/>
        </w:rPr>
      </w:pPr>
      <w:r w:rsidRPr="00733FF6">
        <w:rPr>
          <w:sz w:val="28"/>
          <w:szCs w:val="28"/>
        </w:rPr>
        <w:t>Vyučovanie Braillovho písma a gramotnosť</w:t>
      </w:r>
    </w:p>
    <w:p w14:paraId="4C805146" w14:textId="78F36EEC" w:rsidR="007D18D3" w:rsidRPr="00733FF6" w:rsidRDefault="007D18D3" w:rsidP="00733FF6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733FF6">
        <w:rPr>
          <w:rFonts w:ascii="Arial" w:hAnsi="Arial" w:cs="Arial"/>
          <w:b/>
          <w:bCs/>
          <w:sz w:val="28"/>
          <w:szCs w:val="28"/>
        </w:rPr>
        <w:t>(Braille Teaching and Literacy)</w:t>
      </w:r>
    </w:p>
    <w:p w14:paraId="6753778F" w14:textId="2DF33F42" w:rsidR="0055733C" w:rsidRPr="00733FF6" w:rsidRDefault="00FB72B8" w:rsidP="00733FF6">
      <w:pPr>
        <w:pStyle w:val="Titre1"/>
        <w:spacing w:before="120" w:after="120"/>
        <w:rPr>
          <w:sz w:val="28"/>
          <w:szCs w:val="28"/>
        </w:rPr>
      </w:pPr>
      <w:r w:rsidRPr="00733FF6">
        <w:rPr>
          <w:sz w:val="28"/>
          <w:szCs w:val="28"/>
        </w:rPr>
        <w:t>Z</w:t>
      </w:r>
      <w:r w:rsidR="0055733C" w:rsidRPr="00733FF6">
        <w:rPr>
          <w:sz w:val="28"/>
          <w:szCs w:val="28"/>
        </w:rPr>
        <w:t>áver</w:t>
      </w:r>
      <w:r w:rsidRPr="00733FF6">
        <w:rPr>
          <w:sz w:val="28"/>
          <w:szCs w:val="28"/>
        </w:rPr>
        <w:t>y</w:t>
      </w:r>
      <w:r w:rsidR="0055733C" w:rsidRPr="00733FF6">
        <w:rPr>
          <w:sz w:val="28"/>
          <w:szCs w:val="28"/>
        </w:rPr>
        <w:t xml:space="preserve"> správy</w:t>
      </w:r>
      <w:r w:rsidRPr="00733FF6">
        <w:rPr>
          <w:sz w:val="28"/>
          <w:szCs w:val="28"/>
        </w:rPr>
        <w:t>,</w:t>
      </w:r>
      <w:r w:rsidR="0055733C" w:rsidRPr="00733FF6">
        <w:rPr>
          <w:sz w:val="28"/>
          <w:szCs w:val="28"/>
        </w:rPr>
        <w:t xml:space="preserve"> identifikované problémy a návrhy na riešenia</w:t>
      </w:r>
      <w:r w:rsidRPr="00733FF6">
        <w:rPr>
          <w:sz w:val="28"/>
          <w:szCs w:val="28"/>
        </w:rPr>
        <w:t>.</w:t>
      </w:r>
      <w:r w:rsidR="0055733C" w:rsidRPr="00733FF6">
        <w:rPr>
          <w:sz w:val="28"/>
          <w:szCs w:val="28"/>
        </w:rPr>
        <w:t xml:space="preserve"> </w:t>
      </w:r>
    </w:p>
    <w:p w14:paraId="0F1B30D2" w14:textId="77777777" w:rsidR="00DB01D9" w:rsidRPr="00733FF6" w:rsidRDefault="00DB01D9" w:rsidP="00733FF6">
      <w:pPr>
        <w:numPr>
          <w:ilvl w:val="0"/>
          <w:numId w:val="2"/>
        </w:numPr>
        <w:spacing w:before="120" w:after="120" w:line="252" w:lineRule="auto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t>Problém:</w:t>
      </w:r>
      <w:r w:rsidRPr="00733FF6">
        <w:rPr>
          <w:rFonts w:ascii="Arial" w:hAnsi="Arial" w:cs="Arial"/>
          <w:sz w:val="28"/>
          <w:szCs w:val="28"/>
        </w:rPr>
        <w:t xml:space="preserve"> Prístup k Braillovmu písmu je nevyhnutný. Je dôležité využiť výhody rozvíjajúcich sa technológií a IKT na podporu používania Braillovho písma, a to aj na braillovských displejoch.</w:t>
      </w:r>
    </w:p>
    <w:p w14:paraId="4823F715" w14:textId="67CE93A0" w:rsidR="00DB01D9" w:rsidRPr="00733FF6" w:rsidRDefault="00DB01D9" w:rsidP="00733FF6">
      <w:pPr>
        <w:spacing w:before="120" w:after="120"/>
        <w:rPr>
          <w:rFonts w:ascii="Arial" w:hAnsi="Arial" w:cs="Arial"/>
          <w:color w:val="323E4F" w:themeColor="text2" w:themeShade="BF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t xml:space="preserve">Opatrenie: promovanie technológií využívajúcich Braillovo písmo, Napríklad Orbit Reader: </w:t>
      </w:r>
      <w:r w:rsidRPr="00733FF6">
        <w:rPr>
          <w:rFonts w:ascii="Arial" w:hAnsi="Arial" w:cs="Arial"/>
          <w:sz w:val="28"/>
          <w:szCs w:val="28"/>
        </w:rPr>
        <w:t>Je oveľa lacnejší ako všeobecné piezoelektrické a iné technické zobrazovacie zariadenia.</w:t>
      </w:r>
    </w:p>
    <w:p w14:paraId="26CAAE55" w14:textId="77777777" w:rsidR="00DB01D9" w:rsidRPr="00733FF6" w:rsidRDefault="00DB01D9" w:rsidP="00733FF6">
      <w:pPr>
        <w:numPr>
          <w:ilvl w:val="0"/>
          <w:numId w:val="2"/>
        </w:numPr>
        <w:spacing w:before="120" w:after="120" w:line="252" w:lineRule="auto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t>Problém:</w:t>
      </w:r>
      <w:r w:rsidRPr="00733FF6">
        <w:rPr>
          <w:rFonts w:ascii="Arial" w:hAnsi="Arial" w:cs="Arial"/>
          <w:sz w:val="28"/>
          <w:szCs w:val="28"/>
        </w:rPr>
        <w:t xml:space="preserve"> Dobrá znalosť Braillovho písma a porozumenie prichádza s včasnou stimuláciou a konfrontáciou s tréningom hmatu a hmatovej stimulácie od útleho veku.</w:t>
      </w:r>
    </w:p>
    <w:p w14:paraId="25A48ACF" w14:textId="7B025A5B" w:rsidR="00DB01D9" w:rsidRPr="00733FF6" w:rsidRDefault="00DB01D9" w:rsidP="00733FF6">
      <w:pPr>
        <w:spacing w:before="120" w:after="120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t xml:space="preserve">Opatrenie: </w:t>
      </w:r>
      <w:r w:rsidRPr="00733FF6">
        <w:rPr>
          <w:rFonts w:ascii="Arial" w:hAnsi="Arial" w:cs="Arial"/>
          <w:sz w:val="28"/>
          <w:szCs w:val="28"/>
        </w:rPr>
        <w:t>Koordinovaná a spoločná iniciatíva na spoluprácu s výrobcami hračiek, napr. Lego, s cieľom vyvinúť hračku alebo hru založenú na písmenách Braillovho písma, ktorá je natoľko všeobecná, že môže byť použiteľná v ktorejkoľvek krajine a môže slúžiť ako prostriedok na predstavenie Braillovho písma zábavným a kreatívnym spôsobom.</w:t>
      </w:r>
    </w:p>
    <w:p w14:paraId="346DDF19" w14:textId="77777777" w:rsidR="00DB01D9" w:rsidRPr="00733FF6" w:rsidRDefault="00DB01D9" w:rsidP="00733FF6">
      <w:pPr>
        <w:numPr>
          <w:ilvl w:val="0"/>
          <w:numId w:val="2"/>
        </w:numPr>
        <w:spacing w:before="120" w:after="120" w:line="252" w:lineRule="auto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t>Problém:</w:t>
      </w:r>
      <w:r w:rsidRPr="00733FF6">
        <w:rPr>
          <w:rFonts w:ascii="Arial" w:hAnsi="Arial" w:cs="Arial"/>
          <w:sz w:val="28"/>
          <w:szCs w:val="28"/>
        </w:rPr>
        <w:t xml:space="preserve"> Dobrá znalosť Braillovho písma sa začína konfrontáciou s Braillovým písmom na papieri, jeho precvičovaním a ovládaním. Vidiaci ľudia sa pri učení čítania oboznamujú s médiami s viac ako jedným riadkom a to isté by malo platiť aj pre nevidiacich. </w:t>
      </w:r>
      <w:bookmarkStart w:id="0" w:name="OLE_LINK2"/>
      <w:bookmarkStart w:id="1" w:name="OLE_LINK1"/>
      <w:r w:rsidRPr="00733FF6">
        <w:rPr>
          <w:rFonts w:ascii="Arial" w:hAnsi="Arial" w:cs="Arial"/>
          <w:sz w:val="28"/>
          <w:szCs w:val="28"/>
        </w:rPr>
        <w:t xml:space="preserve">To poskytuje počiatočné a dôležité pochopenie priestorových a rozmerových aspektov a umožňuje nevidiacemu čitateľovi zažiť štruktúry zahŕňajúce viac riadkov. Po dosiahnutí zručnosti </w:t>
      </w:r>
      <w:bookmarkEnd w:id="0"/>
      <w:bookmarkEnd w:id="1"/>
      <w:r w:rsidRPr="00733FF6">
        <w:rPr>
          <w:rFonts w:ascii="Arial" w:hAnsi="Arial" w:cs="Arial"/>
          <w:sz w:val="28"/>
          <w:szCs w:val="28"/>
        </w:rPr>
        <w:t xml:space="preserve">by sa mal čitateľ Braillovho písma oboznámiť s Braillovým písmom z Braillovho displeja. </w:t>
      </w:r>
    </w:p>
    <w:p w14:paraId="761488E3" w14:textId="77777777" w:rsidR="00DB01D9" w:rsidRPr="00733FF6" w:rsidRDefault="00DB01D9" w:rsidP="00733FF6">
      <w:pPr>
        <w:spacing w:before="120" w:after="120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t>Opatrenie</w:t>
      </w:r>
      <w:bookmarkStart w:id="2" w:name="OLE_LINK4"/>
      <w:bookmarkStart w:id="3" w:name="OLE_LINK3"/>
      <w:r w:rsidRPr="00733FF6">
        <w:rPr>
          <w:rFonts w:ascii="Arial" w:hAnsi="Arial" w:cs="Arial"/>
          <w:b/>
          <w:sz w:val="28"/>
          <w:szCs w:val="28"/>
        </w:rPr>
        <w:t xml:space="preserve"> : </w:t>
      </w:r>
      <w:r w:rsidRPr="00733FF6">
        <w:rPr>
          <w:rFonts w:ascii="Arial" w:hAnsi="Arial" w:cs="Arial"/>
          <w:sz w:val="28"/>
          <w:szCs w:val="28"/>
        </w:rPr>
        <w:t>Aby sa zabezpečilo, že nevidiaci sa naučia a pochopia priestorové a rozmerové aspekty textu, mali by sa nevidiace deti ako prvý krok zoznámiť s Braillovým písmom na papieri. Podobne aj mechanický písací stroj a tabuľka s bodkovadlom sú nespornou a povinnou súčasťou úvodu do zručností písania a čítania. Neskôr v rámci vzdelávania je dôležité, aby sa nevidiacim deťom a mládeži ponúkali paralelne knihy v Braillovom písme, ak je to žiaduce, a to v papierovej aj elektronickej podobe.</w:t>
      </w:r>
    </w:p>
    <w:p w14:paraId="0CD45F42" w14:textId="77777777" w:rsidR="00DB01D9" w:rsidRPr="00733FF6" w:rsidRDefault="00DB01D9" w:rsidP="00733FF6">
      <w:pPr>
        <w:spacing w:before="120" w:after="120"/>
        <w:rPr>
          <w:rFonts w:ascii="Arial" w:hAnsi="Arial" w:cs="Arial"/>
          <w:sz w:val="28"/>
          <w:szCs w:val="28"/>
        </w:rPr>
      </w:pPr>
    </w:p>
    <w:bookmarkEnd w:id="2"/>
    <w:bookmarkEnd w:id="3"/>
    <w:p w14:paraId="4A5724F1" w14:textId="77777777" w:rsidR="00DB01D9" w:rsidRPr="00733FF6" w:rsidRDefault="00DB01D9" w:rsidP="00733FF6">
      <w:pPr>
        <w:numPr>
          <w:ilvl w:val="0"/>
          <w:numId w:val="2"/>
        </w:numPr>
        <w:spacing w:before="120" w:after="120" w:line="252" w:lineRule="auto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lastRenderedPageBreak/>
        <w:t>Problém</w:t>
      </w:r>
      <w:r w:rsidRPr="00733FF6">
        <w:rPr>
          <w:rFonts w:ascii="Arial" w:hAnsi="Arial" w:cs="Arial"/>
          <w:sz w:val="28"/>
          <w:szCs w:val="28"/>
        </w:rPr>
        <w:t>: Je dôležité, aby najbližšia rodina - rodičia, starí rodičia atď. - boli zapojení do používania Braillovho písma a podporovali ho ako niečo užitočné, oslobodzujúce a rozvíjajúce kompetencie. Preto by sa malo rodičom pomôcť pochopiť, že Braillovo písmo nie je znakom straty a nemohúcnosti v dôsledku nedostatku zraku, ale prínosom, ktorý zlepší možnosti, potenciál a schopnosti nevidiaceho alebo ťažko slabozrakého dieťaťa a neskôr je prínosom pri hľadaní pracovných príležitostí.</w:t>
      </w:r>
    </w:p>
    <w:p w14:paraId="51CDDEA5" w14:textId="24515137" w:rsidR="00DB01D9" w:rsidRPr="00733FF6" w:rsidRDefault="00DB01D9" w:rsidP="00733FF6">
      <w:pPr>
        <w:spacing w:before="120" w:after="120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t xml:space="preserve">Opatrenie: </w:t>
      </w:r>
      <w:r w:rsidRPr="00733FF6">
        <w:rPr>
          <w:rFonts w:ascii="Arial" w:hAnsi="Arial" w:cs="Arial"/>
          <w:sz w:val="28"/>
          <w:szCs w:val="28"/>
        </w:rPr>
        <w:t xml:space="preserve">Národné organizácie nevidiacich by mali spolupracovať s organizáciami rodičov na distribúcii letáku o Braillovom písme. Ten by mal obsahovať informácie vypracované celoeurópskou pracovnou skupinou/pracovnou skupinou EBU a mal by obsahovať príklady a posolstvá, ktoré sa zaoberajú otázkou zapojenia rodiny/rodičov do podpory pochopenia významu Braillovho písma od útleho veku. V prípade potreby by sa mali vytvoriť a ponúknuť v rámci propagačnej činnosti krátke videoklipy, inštruktážne podcasty a iné moderné a presvedčivé mediálne zdroje. </w:t>
      </w:r>
    </w:p>
    <w:p w14:paraId="61E33C40" w14:textId="77777777" w:rsidR="00DB01D9" w:rsidRPr="00733FF6" w:rsidRDefault="00DB01D9" w:rsidP="00733FF6">
      <w:pPr>
        <w:numPr>
          <w:ilvl w:val="0"/>
          <w:numId w:val="2"/>
        </w:numPr>
        <w:spacing w:before="120" w:after="120" w:line="252" w:lineRule="auto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t xml:space="preserve">Problém: </w:t>
      </w:r>
      <w:r w:rsidRPr="00733FF6">
        <w:rPr>
          <w:rFonts w:ascii="Arial" w:hAnsi="Arial" w:cs="Arial"/>
          <w:sz w:val="28"/>
          <w:szCs w:val="28"/>
        </w:rPr>
        <w:t>Meranie rýchlosti čítania Braillovho písma a kurzy zdokonaľovania čítania a písania Braillovho písma by mali byť samozrejmou súčasťou vzdelávania nevidiacich a ťažko slabozrakých detí podľa dobre zdokumentovaných a usporiadaných metód, aby sa čitatelia Braillovho písma dostali na úroveň, ktorá je čo najviac porovnateľná s ich vidiacimi rovesníkmi.</w:t>
      </w:r>
    </w:p>
    <w:p w14:paraId="2E31394C" w14:textId="5EA58412" w:rsidR="00DB01D9" w:rsidRPr="00733FF6" w:rsidRDefault="00DB01D9" w:rsidP="00733FF6">
      <w:pPr>
        <w:spacing w:before="120" w:after="120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t xml:space="preserve">Opatrenie: </w:t>
      </w:r>
      <w:r w:rsidRPr="00733FF6">
        <w:rPr>
          <w:rFonts w:ascii="Arial" w:hAnsi="Arial" w:cs="Arial"/>
          <w:sz w:val="28"/>
          <w:szCs w:val="28"/>
        </w:rPr>
        <w:t>Pracovná skupina EBU pre Braillovo písmo by mala pripraviť podrobnú príručku metód merania a zlepšovania, napríklad na základe skúseností z Rydaholmu (Švédsko), vo formáte, ktorý by sa dal implementovať vo všetkých krajinách. Tento súbor by mal obsahovať školiaci materiál a inštruktážnu brožúru pre školiteľov.</w:t>
      </w:r>
    </w:p>
    <w:p w14:paraId="316FF333" w14:textId="77777777" w:rsidR="00DB01D9" w:rsidRPr="00733FF6" w:rsidRDefault="00DB01D9" w:rsidP="00733FF6">
      <w:pPr>
        <w:numPr>
          <w:ilvl w:val="0"/>
          <w:numId w:val="2"/>
        </w:numPr>
        <w:spacing w:before="120" w:after="120" w:line="252" w:lineRule="auto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t xml:space="preserve">Problém: Pri </w:t>
      </w:r>
      <w:r w:rsidRPr="00733FF6">
        <w:rPr>
          <w:rFonts w:ascii="Arial" w:hAnsi="Arial" w:cs="Arial"/>
          <w:sz w:val="28"/>
          <w:szCs w:val="28"/>
        </w:rPr>
        <w:t>tréningu možno čítanie Braillovho písma v dobre organizovaných podmienkach kombinovať s rečou (napr. syntetizované čítanie textu rečou), aby sa zvýšila rýchlosť čítania Braillovho písma a spojili sa výhody oboch metód čítania. Je však dôležité zabezpečiť, aby čítanie prostredníctvom reči "neprevzalo" túto oblasť, čo by viedlo k zníženiu gramotnosti.</w:t>
      </w:r>
    </w:p>
    <w:p w14:paraId="3E45F313" w14:textId="0EC87F42" w:rsidR="00DB01D9" w:rsidRPr="00733FF6" w:rsidRDefault="00DB01D9" w:rsidP="00733FF6">
      <w:pPr>
        <w:spacing w:before="120" w:after="120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t>Opatrenie:</w:t>
      </w:r>
      <w:r w:rsidRPr="00733FF6">
        <w:rPr>
          <w:rFonts w:ascii="Arial" w:hAnsi="Arial" w:cs="Arial"/>
          <w:sz w:val="28"/>
          <w:szCs w:val="28"/>
        </w:rPr>
        <w:t xml:space="preserve"> Kombinácia reči a používania Braillovho písma by mala byť starostlivo zvážená a vyvážená.</w:t>
      </w:r>
    </w:p>
    <w:p w14:paraId="1C8AF1E0" w14:textId="77777777" w:rsidR="00DB01D9" w:rsidRPr="00733FF6" w:rsidRDefault="00DB01D9" w:rsidP="00733FF6">
      <w:pPr>
        <w:numPr>
          <w:ilvl w:val="0"/>
          <w:numId w:val="2"/>
        </w:numPr>
        <w:spacing w:before="120" w:after="120" w:line="252" w:lineRule="auto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lastRenderedPageBreak/>
        <w:t>Problém:</w:t>
      </w:r>
      <w:r w:rsidRPr="00733FF6">
        <w:rPr>
          <w:rFonts w:ascii="Arial" w:hAnsi="Arial" w:cs="Arial"/>
          <w:sz w:val="28"/>
          <w:szCs w:val="28"/>
        </w:rPr>
        <w:t xml:space="preserve">  Kompetencie podporných učiteľov Braillovho písma v bežných školách by sa mali výrazne zlepšiť. S učiteľmi/školiteľmi, ktorí majú len slabé vedomosti o Braillovom písme, dieťa rýchlo stratí motiváciu a záujem, ak otázky o Braillovom písme zostanú nezodpovedané alebo sa riešia nedbalo a ignorantsky, čo svedčí o nezáujme namiesto motivujúceho zapojenia.</w:t>
      </w:r>
    </w:p>
    <w:p w14:paraId="29347A89" w14:textId="3CC6BCDA" w:rsidR="00DB01D9" w:rsidRPr="00733FF6" w:rsidRDefault="00DB01D9" w:rsidP="00733FF6">
      <w:pPr>
        <w:spacing w:before="120" w:after="120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t>Opatrenie:</w:t>
      </w:r>
      <w:r w:rsidRPr="00733FF6">
        <w:rPr>
          <w:rFonts w:ascii="Arial" w:hAnsi="Arial" w:cs="Arial"/>
          <w:sz w:val="28"/>
          <w:szCs w:val="28"/>
        </w:rPr>
        <w:t xml:space="preserve"> ICEVI by sa mala spolu s EBU (prípadne prostredníctvom osobitnej pracovnej skupiny pre Braillovo písmo) výrazne zamerať na posilnenie kompetencií odborníkov a učiteľov. Tým by sa malo Braillovo písmo opäť dostať do popredia a zabezpečiť, aby pomocní učitelia v bežných školách mali k dispozícii kvalitnejšiu odbornú prípravu, možno aj prostredníctvom dištančného vzdelávania, s cieľom zlepšiť ich znalosti o Braillovom písme.</w:t>
      </w:r>
    </w:p>
    <w:p w14:paraId="5D4DA705" w14:textId="77777777" w:rsidR="00DB01D9" w:rsidRPr="00733FF6" w:rsidRDefault="00DB01D9" w:rsidP="00733FF6">
      <w:pPr>
        <w:numPr>
          <w:ilvl w:val="0"/>
          <w:numId w:val="2"/>
        </w:numPr>
        <w:spacing w:before="120" w:after="120" w:line="252" w:lineRule="auto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t xml:space="preserve">Problém: </w:t>
      </w:r>
      <w:r w:rsidRPr="00733FF6">
        <w:rPr>
          <w:rFonts w:ascii="Arial" w:hAnsi="Arial" w:cs="Arial"/>
          <w:sz w:val="28"/>
          <w:szCs w:val="28"/>
        </w:rPr>
        <w:t>Existencia a podpora mentorov a vzorov, ktorí poznajú a oceňujú Braillovo písmo, je dôležitá pre stimuláciu a motiváciu nových používateľov Braillovho písma.</w:t>
      </w:r>
    </w:p>
    <w:p w14:paraId="249F40BB" w14:textId="2F47C1AD" w:rsidR="00DB01D9" w:rsidRPr="00733FF6" w:rsidRDefault="00DB01D9" w:rsidP="00733FF6">
      <w:pPr>
        <w:spacing w:before="120" w:after="120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t>Opatrenie:</w:t>
      </w:r>
      <w:r w:rsidRPr="00733FF6">
        <w:rPr>
          <w:rFonts w:ascii="Arial" w:hAnsi="Arial" w:cs="Arial"/>
          <w:sz w:val="28"/>
          <w:szCs w:val="28"/>
        </w:rPr>
        <w:t xml:space="preserve"> Vo všetkých organizáciách nevidiacich by mali byť identifikované osoby a mala by byť vytvorená sieť EBU, kde by sa mohla uskutočňovať výmena nápadov a skúseností.</w:t>
      </w:r>
    </w:p>
    <w:p w14:paraId="0C82FB96" w14:textId="77777777" w:rsidR="00DB01D9" w:rsidRPr="00733FF6" w:rsidRDefault="00DB01D9" w:rsidP="00733FF6">
      <w:pPr>
        <w:numPr>
          <w:ilvl w:val="0"/>
          <w:numId w:val="2"/>
        </w:numPr>
        <w:spacing w:before="120" w:after="120" w:line="252" w:lineRule="auto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t>Problém:</w:t>
      </w:r>
      <w:r w:rsidRPr="00733FF6">
        <w:rPr>
          <w:rFonts w:ascii="Arial" w:hAnsi="Arial" w:cs="Arial"/>
          <w:sz w:val="28"/>
          <w:szCs w:val="28"/>
        </w:rPr>
        <w:t xml:space="preserve"> Je dôležité od začiatku používania Braillovho písma a neskôr zdôrazňovať význam a užitočnosť Braillovho písma vo všetkých oblastiach života, od voľného času, hry, v každodennom živote, v domácnosti, v komunikácii, počas štúdia a neskôr v zamestnaní. Odkazuje sa na zoznam uvedený v správe o projekte, v ktorom sú uvedené spôsoby, ako možno Braillovo písmo používať, a na to, čo robí Braillovo písmo užitočným a pridáva cenné aspekty do života a praktických činností.</w:t>
      </w:r>
    </w:p>
    <w:p w14:paraId="7B1DE424" w14:textId="6EDDD273" w:rsidR="00DB01D9" w:rsidRPr="00733FF6" w:rsidRDefault="00DB01D9" w:rsidP="00733FF6">
      <w:pPr>
        <w:spacing w:before="120" w:after="120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t xml:space="preserve">Opatrenie: </w:t>
      </w:r>
      <w:r w:rsidRPr="00733FF6">
        <w:rPr>
          <w:rFonts w:ascii="Arial" w:hAnsi="Arial" w:cs="Arial"/>
          <w:sz w:val="28"/>
          <w:szCs w:val="28"/>
        </w:rPr>
        <w:t>Organizácie by mali podporovať zviditeľnenie Braillovho písma vo verejnej sfére. Všade, kde sú k dispozícii tlačené informácie, by malo byť k dispozícii aj Braillovo písmo. Mala by existovať spolupráca s výrobcami hračiek, organizovanie súťaží v písaní a propagácia Braillovho písma na tovare.</w:t>
      </w:r>
    </w:p>
    <w:p w14:paraId="44C63888" w14:textId="77777777" w:rsidR="00DB01D9" w:rsidRPr="00733FF6" w:rsidRDefault="00DB01D9" w:rsidP="00733FF6">
      <w:pPr>
        <w:numPr>
          <w:ilvl w:val="0"/>
          <w:numId w:val="2"/>
        </w:numPr>
        <w:spacing w:before="120" w:after="120" w:line="252" w:lineRule="auto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t>Problém:</w:t>
      </w:r>
      <w:r w:rsidRPr="00733FF6">
        <w:rPr>
          <w:rFonts w:ascii="Arial" w:hAnsi="Arial" w:cs="Arial"/>
          <w:sz w:val="28"/>
          <w:szCs w:val="28"/>
        </w:rPr>
        <w:t xml:space="preserve"> pri produkcii braillovských kníh by sa mali využívať čo najlepšie technologické možnosti, ako je vysoká rýchlosť výroby, skenovanie, dostupnosť elektronických zdrojových súborov a podobne. </w:t>
      </w:r>
      <w:r w:rsidRPr="00733FF6">
        <w:rPr>
          <w:rFonts w:ascii="Arial" w:hAnsi="Arial" w:cs="Arial"/>
          <w:sz w:val="28"/>
          <w:szCs w:val="28"/>
        </w:rPr>
        <w:lastRenderedPageBreak/>
        <w:t>Knihy, ktorým chýba riadna úprava, väzba atď., by sa nemali ponúkať. Knihy alebo iné materiály v Braillovom písme, ktoré obsahujú chyby, majú zlú väzbu alebo im chýba vhodné vybavenie, ktoré by ponúkalo rýchle a presné indexovanie a vyhľadávanie, povedú k demotivácii a menšiemu využívaniu tohto média. Tendencie zo strany knižníc pre nevidiacich znižovať rozsah alebo znižovať prioritu riadnej produkcie Braillovho písma by sa mali zvrátiť a mala by sa objasniť a jasne stanoviť zodpovednosť jednotiek za prípravu a tlač Braillovho písma.</w:t>
      </w:r>
    </w:p>
    <w:p w14:paraId="03BC6B60" w14:textId="70321F35" w:rsidR="00DB01D9" w:rsidRPr="00733FF6" w:rsidRDefault="00DB01D9" w:rsidP="00733FF6">
      <w:pPr>
        <w:spacing w:before="120" w:after="120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t>Opatrenie:</w:t>
      </w:r>
      <w:r w:rsidRPr="00733FF6">
        <w:rPr>
          <w:rFonts w:ascii="Arial" w:hAnsi="Arial" w:cs="Arial"/>
          <w:sz w:val="28"/>
          <w:szCs w:val="28"/>
        </w:rPr>
        <w:t xml:space="preserve"> Organizácie nevidiacich vo všetkých európskych krajinách by mali spolu s orgánmi zodpovednými za kultúru a vzdelávanie zabezpečiť, aby národné alebo regionálne knižnice pre nevidiacich zachovali túto prioritu a zamerali sa na kvalitnú produkciu.</w:t>
      </w:r>
    </w:p>
    <w:p w14:paraId="6E6FE1DE" w14:textId="77777777" w:rsidR="00DB01D9" w:rsidRPr="00733FF6" w:rsidRDefault="00DB01D9" w:rsidP="00733FF6">
      <w:pPr>
        <w:numPr>
          <w:ilvl w:val="0"/>
          <w:numId w:val="2"/>
        </w:numPr>
        <w:spacing w:before="120" w:after="120" w:line="252" w:lineRule="auto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t>Problém:</w:t>
      </w:r>
      <w:r w:rsidRPr="00733FF6">
        <w:rPr>
          <w:rFonts w:ascii="Arial" w:hAnsi="Arial" w:cs="Arial"/>
          <w:sz w:val="28"/>
          <w:szCs w:val="28"/>
        </w:rPr>
        <w:t xml:space="preserve"> Je potrebné zamerať sa na výrobu materiálov, ktoré sú užitočné pre motiváciu a vzbudenie záujmu detí a mládeže o hmatové podnety, ako sú mapy, 3D vzdelávacie a učebné materiály a nástroje, ktoré sa môžu používať pri záľubách, voľnočasových aktivitách atď.</w:t>
      </w:r>
    </w:p>
    <w:p w14:paraId="5538F0FE" w14:textId="77777777" w:rsidR="00DB01D9" w:rsidRPr="00733FF6" w:rsidRDefault="00DB01D9" w:rsidP="00733FF6">
      <w:pPr>
        <w:spacing w:before="120" w:after="120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t xml:space="preserve">Opatrenie </w:t>
      </w:r>
      <w:r w:rsidRPr="00733FF6">
        <w:rPr>
          <w:rFonts w:ascii="Arial" w:hAnsi="Arial" w:cs="Arial"/>
          <w:i/>
          <w:sz w:val="28"/>
          <w:szCs w:val="28"/>
        </w:rPr>
        <w:t>(I)</w:t>
      </w:r>
      <w:r w:rsidRPr="00733FF6">
        <w:rPr>
          <w:rFonts w:ascii="Arial" w:hAnsi="Arial" w:cs="Arial"/>
          <w:b/>
          <w:sz w:val="28"/>
          <w:szCs w:val="28"/>
        </w:rPr>
        <w:t>:</w:t>
      </w:r>
      <w:r w:rsidRPr="00733FF6">
        <w:rPr>
          <w:rFonts w:ascii="Arial" w:hAnsi="Arial" w:cs="Arial"/>
          <w:sz w:val="28"/>
          <w:szCs w:val="28"/>
        </w:rPr>
        <w:t xml:space="preserve"> Organizácie nevidiacich by mali lobovať za uznanie Braillovho písma ako hlavného formátu na čítanie a písanie pre nevidiacich, najmä pre deti a mládež.</w:t>
      </w:r>
    </w:p>
    <w:p w14:paraId="0482171F" w14:textId="77777777" w:rsidR="00DB01D9" w:rsidRPr="00733FF6" w:rsidRDefault="00DB01D9" w:rsidP="00733FF6">
      <w:pPr>
        <w:spacing w:before="120" w:after="120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i/>
          <w:sz w:val="28"/>
          <w:szCs w:val="28"/>
        </w:rPr>
        <w:t>Opatrenie (II)</w:t>
      </w:r>
      <w:r w:rsidRPr="00733FF6">
        <w:rPr>
          <w:rFonts w:ascii="Arial" w:hAnsi="Arial" w:cs="Arial"/>
          <w:b/>
          <w:sz w:val="28"/>
          <w:szCs w:val="28"/>
        </w:rPr>
        <w:t>:</w:t>
      </w:r>
      <w:r w:rsidRPr="00733FF6">
        <w:rPr>
          <w:rFonts w:ascii="Arial" w:hAnsi="Arial" w:cs="Arial"/>
          <w:sz w:val="28"/>
          <w:szCs w:val="28"/>
        </w:rPr>
        <w:t xml:space="preserve"> Vo všetkých európskych krajinách by sa mal zriadiť orgán pre Braillovo písmo, ktorý by sledoval, rozvíjal a poskytoval kvalifikované konzultácie o národných formátoch a dizajne Braillovho písma. Rovnako by sa malo vyvinúť úsilie na podporu národných rozhodovacích orgánov, aby formálne uznali Braillovo písmo v súlade so zásadami a pokynmi uvedenými v Dohovore OSN o právach osôb so zdravotným postihnutím, kde sa Braillovo písmo zdôrazňuje ako nevyhnutný nástroj pre nevidiace osoby z hľadiska vzdelávania, kultúry, označovania, prístupnosti atď.</w:t>
      </w:r>
    </w:p>
    <w:p w14:paraId="0DBDA162" w14:textId="77777777" w:rsidR="00DB01D9" w:rsidRPr="00733FF6" w:rsidRDefault="00DB01D9" w:rsidP="00733FF6">
      <w:pPr>
        <w:spacing w:before="120" w:after="120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t xml:space="preserve">Opatrenie </w:t>
      </w:r>
      <w:r w:rsidRPr="00733FF6">
        <w:rPr>
          <w:rFonts w:ascii="Arial" w:hAnsi="Arial" w:cs="Arial"/>
          <w:i/>
          <w:sz w:val="28"/>
          <w:szCs w:val="28"/>
        </w:rPr>
        <w:t>(III)</w:t>
      </w:r>
      <w:r w:rsidRPr="00733FF6">
        <w:rPr>
          <w:rFonts w:ascii="Arial" w:hAnsi="Arial" w:cs="Arial"/>
          <w:b/>
          <w:sz w:val="28"/>
          <w:szCs w:val="28"/>
        </w:rPr>
        <w:t xml:space="preserve">: </w:t>
      </w:r>
      <w:r w:rsidRPr="00733FF6">
        <w:rPr>
          <w:rFonts w:ascii="Arial" w:hAnsi="Arial" w:cs="Arial"/>
          <w:sz w:val="28"/>
          <w:szCs w:val="28"/>
        </w:rPr>
        <w:t>EBU by mala zriadiť pracovnú skupinu pre Braillovo písmo, ktorá by mohla monitorovať stav a podmienky týkajúce sa Braillovho písma a vykonávať vyššie uvedené úlohy.</w:t>
      </w:r>
    </w:p>
    <w:p w14:paraId="6F18DE0E" w14:textId="4DE41F67" w:rsidR="00DB01D9" w:rsidRPr="00733FF6" w:rsidRDefault="00DB01D9" w:rsidP="00733FF6">
      <w:pPr>
        <w:spacing w:before="120" w:after="120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b/>
          <w:sz w:val="28"/>
          <w:szCs w:val="28"/>
        </w:rPr>
        <w:t xml:space="preserve">Opatrenie </w:t>
      </w:r>
      <w:r w:rsidRPr="00733FF6">
        <w:rPr>
          <w:rFonts w:ascii="Arial" w:hAnsi="Arial" w:cs="Arial"/>
          <w:i/>
          <w:sz w:val="28"/>
          <w:szCs w:val="28"/>
        </w:rPr>
        <w:t>(IV)</w:t>
      </w:r>
      <w:r w:rsidRPr="00733FF6">
        <w:rPr>
          <w:rFonts w:ascii="Arial" w:hAnsi="Arial" w:cs="Arial"/>
          <w:b/>
          <w:sz w:val="28"/>
          <w:szCs w:val="28"/>
        </w:rPr>
        <w:t>:</w:t>
      </w:r>
      <w:r w:rsidRPr="00733FF6">
        <w:rPr>
          <w:rFonts w:ascii="Arial" w:hAnsi="Arial" w:cs="Arial"/>
          <w:sz w:val="28"/>
          <w:szCs w:val="28"/>
        </w:rPr>
        <w:t xml:space="preserve"> EBU by mala vo svojom informačnom bulletine a na svojej webovej stránke vytvoriť oblasť Braillovho písma, kde by sa mali sústrediť otázky a nápady týkajúce sa propagácie Braillovho písma, jeho používania, čítania, písania atď. Rovnako by sa tu mali umiestňovať odporúčania, nápady a súbory nástrojov, ktoré sa majú vytvoriť, atď. Ak je to možné, </w:t>
      </w:r>
      <w:r w:rsidRPr="00733FF6">
        <w:rPr>
          <w:rFonts w:ascii="Arial" w:hAnsi="Arial" w:cs="Arial"/>
          <w:sz w:val="28"/>
          <w:szCs w:val="28"/>
        </w:rPr>
        <w:lastRenderedPageBreak/>
        <w:t>EBU by mala vypracovať Otázky a odpovede alebo iné nástroje, ktoré by mohli národné organizácie využívať pri propagácii a uznávaní Braillovho písma aj na oficiálnej politickej úrovni.</w:t>
      </w:r>
    </w:p>
    <w:p w14:paraId="491E76D0" w14:textId="376E3130" w:rsidR="00972D0E" w:rsidRPr="00733FF6" w:rsidRDefault="00DB01D9" w:rsidP="00733FF6">
      <w:pPr>
        <w:spacing w:before="120" w:after="120"/>
        <w:rPr>
          <w:rFonts w:ascii="Arial" w:hAnsi="Arial" w:cs="Arial"/>
          <w:sz w:val="28"/>
          <w:szCs w:val="28"/>
        </w:rPr>
      </w:pPr>
      <w:r w:rsidRPr="00733FF6">
        <w:rPr>
          <w:rFonts w:ascii="Arial" w:hAnsi="Arial" w:cs="Arial"/>
          <w:sz w:val="28"/>
          <w:szCs w:val="28"/>
          <w:lang w:val="fr-FR"/>
        </w:rPr>
        <w:t>Koniec dokumentu.</w:t>
      </w:r>
    </w:p>
    <w:sectPr w:rsidR="00972D0E" w:rsidRPr="00733FF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11329" w14:textId="77777777" w:rsidR="0060344B" w:rsidRDefault="0060344B" w:rsidP="008A5F57">
      <w:pPr>
        <w:spacing w:after="0" w:line="240" w:lineRule="auto"/>
      </w:pPr>
      <w:r>
        <w:separator/>
      </w:r>
    </w:p>
  </w:endnote>
  <w:endnote w:type="continuationSeparator" w:id="0">
    <w:p w14:paraId="7717B8CB" w14:textId="77777777" w:rsidR="0060344B" w:rsidRDefault="0060344B" w:rsidP="008A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3071038"/>
      <w:docPartObj>
        <w:docPartGallery w:val="Page Numbers (Bottom of Page)"/>
        <w:docPartUnique/>
      </w:docPartObj>
    </w:sdtPr>
    <w:sdtEndPr/>
    <w:sdtContent>
      <w:p w14:paraId="51406849" w14:textId="12EDA369" w:rsidR="0079648A" w:rsidRDefault="0079648A" w:rsidP="0079648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255E" w14:textId="77777777" w:rsidR="0060344B" w:rsidRDefault="0060344B" w:rsidP="008A5F57">
      <w:pPr>
        <w:spacing w:after="0" w:line="240" w:lineRule="auto"/>
      </w:pPr>
      <w:r>
        <w:separator/>
      </w:r>
    </w:p>
  </w:footnote>
  <w:footnote w:type="continuationSeparator" w:id="0">
    <w:p w14:paraId="3F496BFE" w14:textId="77777777" w:rsidR="0060344B" w:rsidRDefault="0060344B" w:rsidP="008A5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0219E"/>
    <w:multiLevelType w:val="hybridMultilevel"/>
    <w:tmpl w:val="AD1ED28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21360115">
    <w:abstractNumId w:val="0"/>
  </w:num>
  <w:num w:numId="2" w16cid:durableId="1557742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8D3"/>
    <w:rsid w:val="001F54C7"/>
    <w:rsid w:val="00234BE1"/>
    <w:rsid w:val="002516F6"/>
    <w:rsid w:val="00272798"/>
    <w:rsid w:val="00475A0B"/>
    <w:rsid w:val="0055733C"/>
    <w:rsid w:val="005F51C9"/>
    <w:rsid w:val="0060344B"/>
    <w:rsid w:val="00733FF6"/>
    <w:rsid w:val="0079648A"/>
    <w:rsid w:val="007D18D3"/>
    <w:rsid w:val="008A5F57"/>
    <w:rsid w:val="008B1202"/>
    <w:rsid w:val="00972D0E"/>
    <w:rsid w:val="00A46404"/>
    <w:rsid w:val="00B4738B"/>
    <w:rsid w:val="00BB6CBC"/>
    <w:rsid w:val="00D95B12"/>
    <w:rsid w:val="00DB01D9"/>
    <w:rsid w:val="00DD056D"/>
    <w:rsid w:val="00EC62B3"/>
    <w:rsid w:val="00F06798"/>
    <w:rsid w:val="00FB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B9BFC"/>
  <w15:chartTrackingRefBased/>
  <w15:docId w15:val="{8E8947E4-7D77-4F4A-93FF-2A597183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k-SK"/>
    </w:rPr>
  </w:style>
  <w:style w:type="paragraph" w:styleId="Titre1">
    <w:name w:val="heading 1"/>
    <w:basedOn w:val="Normal"/>
    <w:next w:val="Normal"/>
    <w:link w:val="Titre1Car"/>
    <w:uiPriority w:val="9"/>
    <w:qFormat/>
    <w:rsid w:val="00DB01D9"/>
    <w:pPr>
      <w:keepNext/>
      <w:keepLines/>
      <w:spacing w:after="0"/>
      <w:outlineLvl w:val="0"/>
    </w:pPr>
    <w:rPr>
      <w:rFonts w:ascii="Arial" w:eastAsiaTheme="majorEastAsia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D18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2D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D18D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sk-SK"/>
    </w:rPr>
  </w:style>
  <w:style w:type="character" w:customStyle="1" w:styleId="Titre1Car">
    <w:name w:val="Titre 1 Car"/>
    <w:basedOn w:val="Policepardfaut"/>
    <w:link w:val="Titre1"/>
    <w:uiPriority w:val="9"/>
    <w:rsid w:val="00DB01D9"/>
    <w:rPr>
      <w:rFonts w:ascii="Arial" w:eastAsiaTheme="majorEastAsia" w:hAnsi="Arial" w:cs="Arial"/>
      <w:b/>
      <w:bCs/>
      <w:noProof/>
      <w:sz w:val="32"/>
      <w:szCs w:val="32"/>
      <w:lang w:val="sk-SK"/>
    </w:rPr>
  </w:style>
  <w:style w:type="character" w:styleId="Lienhypertexte">
    <w:name w:val="Hyperlink"/>
    <w:basedOn w:val="Policepardfaut"/>
    <w:uiPriority w:val="99"/>
    <w:unhideWhenUsed/>
    <w:rsid w:val="007D18D3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972D0E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sk-SK"/>
    </w:rPr>
  </w:style>
  <w:style w:type="character" w:styleId="Lienhypertextesuivivisit">
    <w:name w:val="FollowedHyperlink"/>
    <w:basedOn w:val="Policepardfaut"/>
    <w:uiPriority w:val="99"/>
    <w:semiHidden/>
    <w:unhideWhenUsed/>
    <w:rsid w:val="00972D0E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972D0E"/>
    <w:pPr>
      <w:spacing w:before="100" w:beforeAutospacing="1" w:after="100" w:afterAutospacing="1" w:line="240" w:lineRule="auto"/>
    </w:pPr>
    <w:rPr>
      <w:rFonts w:ascii="Times New Roman" w:hAnsi="Times New Roman" w:cs="Times New Roman"/>
      <w:noProof w:val="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972D0E"/>
    <w:pPr>
      <w:spacing w:before="100" w:beforeAutospacing="1" w:after="100" w:afterAutospacing="1" w:line="240" w:lineRule="auto"/>
    </w:pPr>
    <w:rPr>
      <w:rFonts w:ascii="Times New Roman" w:hAnsi="Times New Roman" w:cs="Times New Roman"/>
      <w:noProof w:val="0"/>
      <w:sz w:val="24"/>
      <w:szCs w:val="24"/>
      <w:lang w:val="en-GB" w:eastAsia="en-GB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972D0E"/>
    <w:pPr>
      <w:spacing w:after="100" w:line="256" w:lineRule="auto"/>
    </w:pPr>
    <w:rPr>
      <w:rFonts w:ascii="Arial" w:hAnsi="Arial"/>
      <w:noProof w:val="0"/>
      <w:color w:val="323E4F" w:themeColor="text2" w:themeShade="BF"/>
      <w:sz w:val="28"/>
      <w:lang w:val="en-GB"/>
    </w:rPr>
  </w:style>
  <w:style w:type="paragraph" w:styleId="TM2">
    <w:name w:val="toc 2"/>
    <w:basedOn w:val="Normal"/>
    <w:next w:val="Normal"/>
    <w:autoRedefine/>
    <w:uiPriority w:val="39"/>
    <w:semiHidden/>
    <w:unhideWhenUsed/>
    <w:rsid w:val="00972D0E"/>
    <w:pPr>
      <w:spacing w:after="100" w:line="256" w:lineRule="auto"/>
      <w:ind w:left="220"/>
    </w:pPr>
    <w:rPr>
      <w:rFonts w:ascii="Arial" w:hAnsi="Arial"/>
      <w:noProof w:val="0"/>
      <w:color w:val="323E4F" w:themeColor="text2" w:themeShade="BF"/>
      <w:sz w:val="28"/>
      <w:lang w:val="en-GB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972D0E"/>
    <w:pPr>
      <w:spacing w:after="100" w:line="256" w:lineRule="auto"/>
      <w:ind w:left="560"/>
    </w:pPr>
    <w:rPr>
      <w:rFonts w:ascii="Arial" w:hAnsi="Arial"/>
      <w:noProof w:val="0"/>
      <w:color w:val="323E4F" w:themeColor="text2" w:themeShade="BF"/>
      <w:sz w:val="28"/>
      <w:lang w:val="en-GB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2D0E"/>
    <w:pPr>
      <w:spacing w:after="0" w:line="240" w:lineRule="auto"/>
    </w:pPr>
    <w:rPr>
      <w:rFonts w:ascii="Arial" w:hAnsi="Arial"/>
      <w:noProof w:val="0"/>
      <w:color w:val="323E4F" w:themeColor="text2" w:themeShade="BF"/>
      <w:sz w:val="20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2D0E"/>
    <w:rPr>
      <w:rFonts w:ascii="Arial" w:hAnsi="Arial"/>
      <w:color w:val="323E4F" w:themeColor="text2" w:themeShade="BF"/>
      <w:sz w:val="20"/>
      <w:szCs w:val="20"/>
      <w:lang w:val="en-GB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2D0E"/>
    <w:pPr>
      <w:spacing w:line="240" w:lineRule="auto"/>
    </w:pPr>
    <w:rPr>
      <w:rFonts w:ascii="Arial" w:hAnsi="Arial"/>
      <w:noProof w:val="0"/>
      <w:color w:val="323E4F" w:themeColor="text2" w:themeShade="BF"/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2D0E"/>
    <w:rPr>
      <w:rFonts w:ascii="Arial" w:hAnsi="Arial"/>
      <w:color w:val="323E4F" w:themeColor="text2" w:themeShade="BF"/>
      <w:sz w:val="20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972D0E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noProof w:val="0"/>
      <w:color w:val="323E4F" w:themeColor="text2" w:themeShade="BF"/>
      <w:sz w:val="28"/>
      <w:lang w:val="en-GB"/>
    </w:rPr>
  </w:style>
  <w:style w:type="character" w:customStyle="1" w:styleId="En-tteCar">
    <w:name w:val="En-tête Car"/>
    <w:basedOn w:val="Policepardfaut"/>
    <w:link w:val="En-tte"/>
    <w:uiPriority w:val="99"/>
    <w:rsid w:val="00972D0E"/>
    <w:rPr>
      <w:rFonts w:ascii="Arial" w:hAnsi="Arial"/>
      <w:color w:val="323E4F" w:themeColor="text2" w:themeShade="BF"/>
      <w:sz w:val="28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972D0E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noProof w:val="0"/>
      <w:color w:val="323E4F" w:themeColor="text2" w:themeShade="BF"/>
      <w:sz w:val="28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972D0E"/>
    <w:rPr>
      <w:rFonts w:ascii="Arial" w:hAnsi="Arial"/>
      <w:color w:val="323E4F" w:themeColor="text2" w:themeShade="BF"/>
      <w:sz w:val="28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2D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2D0E"/>
    <w:rPr>
      <w:rFonts w:ascii="Arial" w:hAnsi="Arial"/>
      <w:b/>
      <w:bCs/>
      <w:color w:val="323E4F" w:themeColor="text2" w:themeShade="BF"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2D0E"/>
    <w:pPr>
      <w:spacing w:after="0" w:line="240" w:lineRule="auto"/>
    </w:pPr>
    <w:rPr>
      <w:rFonts w:ascii="Segoe UI" w:hAnsi="Segoe UI" w:cs="Segoe UI"/>
      <w:noProof w:val="0"/>
      <w:color w:val="323E4F" w:themeColor="text2" w:themeShade="BF"/>
      <w:sz w:val="18"/>
      <w:szCs w:val="18"/>
      <w:lang w:val="en-GB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2D0E"/>
    <w:rPr>
      <w:rFonts w:ascii="Segoe UI" w:hAnsi="Segoe UI" w:cs="Segoe UI"/>
      <w:color w:val="323E4F" w:themeColor="text2" w:themeShade="BF"/>
      <w:sz w:val="18"/>
      <w:szCs w:val="18"/>
      <w:lang w:val="en-GB"/>
    </w:rPr>
  </w:style>
  <w:style w:type="paragraph" w:styleId="Paragraphedeliste">
    <w:name w:val="List Paragraph"/>
    <w:basedOn w:val="Normal"/>
    <w:uiPriority w:val="34"/>
    <w:qFormat/>
    <w:rsid w:val="00972D0E"/>
    <w:pPr>
      <w:spacing w:line="256" w:lineRule="auto"/>
      <w:ind w:left="720"/>
      <w:contextualSpacing/>
    </w:pPr>
    <w:rPr>
      <w:rFonts w:ascii="Arial" w:hAnsi="Arial"/>
      <w:noProof w:val="0"/>
      <w:color w:val="323E4F" w:themeColor="text2" w:themeShade="BF"/>
      <w:sz w:val="28"/>
      <w:lang w:val="en-GB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72D0E"/>
    <w:pPr>
      <w:spacing w:line="256" w:lineRule="auto"/>
      <w:outlineLvl w:val="9"/>
    </w:pPr>
    <w:rPr>
      <w:b w:val="0"/>
      <w:noProof w:val="0"/>
      <w:lang w:val="en-US"/>
    </w:rPr>
  </w:style>
  <w:style w:type="paragraph" w:customStyle="1" w:styleId="p1">
    <w:name w:val="p1"/>
    <w:basedOn w:val="Normal"/>
    <w:uiPriority w:val="99"/>
    <w:semiHidden/>
    <w:rsid w:val="00972D0E"/>
    <w:pPr>
      <w:spacing w:after="0" w:line="240" w:lineRule="auto"/>
    </w:pPr>
    <w:rPr>
      <w:rFonts w:ascii="Times New Roman" w:hAnsi="Times New Roman" w:cs="Times New Roman"/>
      <w:noProof w:val="0"/>
      <w:sz w:val="18"/>
      <w:szCs w:val="18"/>
      <w:lang w:val="en-GB" w:eastAsia="en-GB"/>
    </w:rPr>
  </w:style>
  <w:style w:type="paragraph" w:customStyle="1" w:styleId="p2">
    <w:name w:val="p2"/>
    <w:basedOn w:val="Normal"/>
    <w:uiPriority w:val="99"/>
    <w:semiHidden/>
    <w:rsid w:val="00972D0E"/>
    <w:pPr>
      <w:spacing w:after="0" w:line="240" w:lineRule="auto"/>
    </w:pPr>
    <w:rPr>
      <w:rFonts w:ascii="Times New Roman" w:hAnsi="Times New Roman" w:cs="Times New Roman"/>
      <w:noProof w:val="0"/>
      <w:sz w:val="14"/>
      <w:szCs w:val="14"/>
      <w:lang w:val="en-GB" w:eastAsia="en-GB"/>
    </w:rPr>
  </w:style>
  <w:style w:type="character" w:styleId="Appelnotedebasdep">
    <w:name w:val="footnote reference"/>
    <w:basedOn w:val="Policepardfaut"/>
    <w:uiPriority w:val="99"/>
    <w:semiHidden/>
    <w:unhideWhenUsed/>
    <w:rsid w:val="00972D0E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72D0E"/>
    <w:rPr>
      <w:sz w:val="16"/>
      <w:szCs w:val="16"/>
    </w:rPr>
  </w:style>
  <w:style w:type="table" w:styleId="Grilledutableau">
    <w:name w:val="Table Grid"/>
    <w:basedOn w:val="TableauNormal"/>
    <w:uiPriority w:val="39"/>
    <w:rsid w:val="00972D0E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DBEEA-064E-4699-8E57-66F6D5AD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1364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Tkacik</dc:creator>
  <cp:keywords/>
  <dc:description/>
  <cp:lastModifiedBy>Gary MAY</cp:lastModifiedBy>
  <cp:revision>10</cp:revision>
  <dcterms:created xsi:type="dcterms:W3CDTF">2021-07-30T12:59:00Z</dcterms:created>
  <dcterms:modified xsi:type="dcterms:W3CDTF">2022-05-10T07:48:00Z</dcterms:modified>
</cp:coreProperties>
</file>