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0E4E7" w14:textId="77777777" w:rsidR="00480866" w:rsidRPr="00511D6B" w:rsidRDefault="00480866" w:rsidP="00480866">
      <w:pPr>
        <w:pStyle w:val="Titre"/>
        <w:rPr>
          <w:sz w:val="96"/>
          <w:szCs w:val="96"/>
          <w:lang w:val="en-GB"/>
        </w:rPr>
      </w:pPr>
    </w:p>
    <w:p w14:paraId="3A7A51E7" w14:textId="77777777" w:rsidR="00480866" w:rsidRPr="00AF6214" w:rsidRDefault="00480866" w:rsidP="00480866">
      <w:pPr>
        <w:pStyle w:val="Titre"/>
        <w:rPr>
          <w:lang w:val="en-GB"/>
        </w:rPr>
      </w:pPr>
      <w:r w:rsidRPr="00AF6214">
        <w:rPr>
          <w:lang w:val="en-GB"/>
        </w:rPr>
        <w:t>European Blind Union</w:t>
      </w:r>
    </w:p>
    <w:p w14:paraId="01A4D88C" w14:textId="77777777" w:rsidR="00480866" w:rsidRPr="004E67F6" w:rsidRDefault="00480866" w:rsidP="00480866">
      <w:pPr>
        <w:pStyle w:val="Titre"/>
        <w:rPr>
          <w:sz w:val="96"/>
          <w:szCs w:val="96"/>
          <w:lang w:val="en-GB"/>
        </w:rPr>
      </w:pPr>
    </w:p>
    <w:p w14:paraId="2C142D3B" w14:textId="77777777" w:rsidR="00480866" w:rsidRPr="00AF6214" w:rsidRDefault="00480866" w:rsidP="00480866">
      <w:pPr>
        <w:pStyle w:val="Titre"/>
        <w:rPr>
          <w:lang w:val="en-GB"/>
        </w:rPr>
      </w:pPr>
      <w:r w:rsidRPr="00AF6214">
        <w:rPr>
          <w:lang w:val="en-GB"/>
        </w:rPr>
        <w:t>11</w:t>
      </w:r>
      <w:r w:rsidRPr="00081DAF">
        <w:rPr>
          <w:vertAlign w:val="superscript"/>
          <w:lang w:val="en-GB"/>
        </w:rPr>
        <w:t>th</w:t>
      </w:r>
      <w:r>
        <w:rPr>
          <w:lang w:val="en-GB"/>
        </w:rPr>
        <w:t xml:space="preserve"> G</w:t>
      </w:r>
      <w:r w:rsidRPr="00AF6214">
        <w:rPr>
          <w:lang w:val="en-GB"/>
        </w:rPr>
        <w:t xml:space="preserve">eneral </w:t>
      </w:r>
      <w:r>
        <w:rPr>
          <w:lang w:val="en-GB"/>
        </w:rPr>
        <w:t>A</w:t>
      </w:r>
      <w:r w:rsidRPr="00AF6214">
        <w:rPr>
          <w:lang w:val="en-GB"/>
        </w:rPr>
        <w:t>ssembly, Rome, Italy, 28/30 October 2019</w:t>
      </w:r>
    </w:p>
    <w:p w14:paraId="1D17F705" w14:textId="77777777" w:rsidR="00480866" w:rsidRPr="00AF6214" w:rsidRDefault="00480866" w:rsidP="00480866">
      <w:pPr>
        <w:pStyle w:val="Titre"/>
        <w:rPr>
          <w:lang w:val="en-GB"/>
        </w:rPr>
      </w:pPr>
    </w:p>
    <w:p w14:paraId="42F80CA4" w14:textId="2F5AE8A0" w:rsidR="00480866" w:rsidRDefault="00480866" w:rsidP="00480866">
      <w:pPr>
        <w:pStyle w:val="Titre"/>
        <w:rPr>
          <w:lang w:val="en-GB"/>
        </w:rPr>
      </w:pPr>
      <w:r w:rsidRPr="00480866">
        <w:rPr>
          <w:lang w:val="en-GB"/>
        </w:rPr>
        <w:t>Treasurer's Report for the period 2015–2018</w:t>
      </w:r>
    </w:p>
    <w:p w14:paraId="4D9B1CF0" w14:textId="77777777" w:rsidR="00480866" w:rsidRPr="00480866" w:rsidRDefault="00480866" w:rsidP="00480866">
      <w:pPr>
        <w:rPr>
          <w:lang w:eastAsia="en-US"/>
        </w:rPr>
        <w:sectPr w:rsidR="00480866" w:rsidRPr="00480866" w:rsidSect="00EE2BA8">
          <w:headerReference w:type="even" r:id="rId8"/>
          <w:headerReference w:type="default" r:id="rId9"/>
          <w:footerReference w:type="even" r:id="rId10"/>
          <w:footerReference w:type="default" r:id="rId11"/>
          <w:headerReference w:type="first" r:id="rId12"/>
          <w:footerReference w:type="first" r:id="rId13"/>
          <w:pgSz w:w="11900" w:h="16840" w:code="9"/>
          <w:pgMar w:top="1418" w:right="1418" w:bottom="1418" w:left="1418" w:header="851" w:footer="851" w:gutter="0"/>
          <w:cols w:space="708"/>
          <w:vAlign w:val="center"/>
          <w:titlePg/>
          <w:docGrid w:linePitch="381"/>
        </w:sectPr>
      </w:pPr>
    </w:p>
    <w:sdt>
      <w:sdtPr>
        <w:rPr>
          <w:b w:val="0"/>
          <w:color w:val="auto"/>
          <w:sz w:val="28"/>
        </w:rPr>
        <w:id w:val="1623656065"/>
        <w:docPartObj>
          <w:docPartGallery w:val="Table of Contents"/>
          <w:docPartUnique/>
        </w:docPartObj>
      </w:sdtPr>
      <w:sdtEndPr>
        <w:rPr>
          <w:bCs/>
        </w:rPr>
      </w:sdtEndPr>
      <w:sdtContent>
        <w:p w14:paraId="46F7A51C" w14:textId="719AA0EE" w:rsidR="00583089" w:rsidRPr="00583089" w:rsidRDefault="00583089" w:rsidP="00583089">
          <w:pPr>
            <w:pStyle w:val="Titre1"/>
            <w:jc w:val="center"/>
          </w:pPr>
          <w:r>
            <w:t>Table of contents</w:t>
          </w:r>
        </w:p>
        <w:p w14:paraId="6749A0B1" w14:textId="77777777" w:rsidR="00552F5A" w:rsidRDefault="00552F5A">
          <w:pPr>
            <w:pStyle w:val="TM1"/>
            <w:tabs>
              <w:tab w:val="left" w:pos="440"/>
              <w:tab w:val="right" w:leader="dot" w:pos="9054"/>
            </w:tabs>
            <w:rPr>
              <w:rFonts w:asciiTheme="minorHAnsi" w:eastAsiaTheme="minorEastAsia" w:hAnsiTheme="minorHAnsi" w:cstheme="minorBidi"/>
              <w:b w:val="0"/>
              <w:noProof/>
              <w:kern w:val="0"/>
              <w:sz w:val="22"/>
              <w:szCs w:val="22"/>
              <w:lang w:val="fr-FR" w:eastAsia="fr-FR"/>
            </w:rPr>
          </w:pPr>
          <w:r>
            <w:fldChar w:fldCharType="begin"/>
          </w:r>
          <w:r>
            <w:instrText xml:space="preserve"> TOC \o "1-3" \h \z \u </w:instrText>
          </w:r>
          <w:r>
            <w:fldChar w:fldCharType="separate"/>
          </w:r>
          <w:hyperlink w:anchor="_Toc20920768" w:history="1">
            <w:r w:rsidRPr="00FE6D1E">
              <w:rPr>
                <w:rStyle w:val="Lienhypertexte"/>
                <w:noProof/>
              </w:rPr>
              <w:t>I.</w:t>
            </w:r>
            <w:r>
              <w:rPr>
                <w:rFonts w:asciiTheme="minorHAnsi" w:eastAsiaTheme="minorEastAsia" w:hAnsiTheme="minorHAnsi" w:cstheme="minorBidi"/>
                <w:b w:val="0"/>
                <w:noProof/>
                <w:kern w:val="0"/>
                <w:sz w:val="22"/>
                <w:szCs w:val="22"/>
                <w:lang w:val="fr-FR" w:eastAsia="fr-FR"/>
              </w:rPr>
              <w:tab/>
            </w:r>
            <w:r w:rsidRPr="00FE6D1E">
              <w:rPr>
                <w:rStyle w:val="Lienhypertexte"/>
                <w:noProof/>
              </w:rPr>
              <w:t>A HEALTHY CASH FLOW</w:t>
            </w:r>
            <w:r>
              <w:rPr>
                <w:noProof/>
                <w:webHidden/>
              </w:rPr>
              <w:tab/>
            </w:r>
            <w:r>
              <w:rPr>
                <w:noProof/>
                <w:webHidden/>
              </w:rPr>
              <w:fldChar w:fldCharType="begin"/>
            </w:r>
            <w:r>
              <w:rPr>
                <w:noProof/>
                <w:webHidden/>
              </w:rPr>
              <w:instrText xml:space="preserve"> PAGEREF _Toc20920768 \h </w:instrText>
            </w:r>
            <w:r>
              <w:rPr>
                <w:noProof/>
                <w:webHidden/>
              </w:rPr>
            </w:r>
            <w:r>
              <w:rPr>
                <w:noProof/>
                <w:webHidden/>
              </w:rPr>
              <w:fldChar w:fldCharType="separate"/>
            </w:r>
            <w:r>
              <w:rPr>
                <w:noProof/>
                <w:webHidden/>
              </w:rPr>
              <w:t>2</w:t>
            </w:r>
            <w:r>
              <w:rPr>
                <w:noProof/>
                <w:webHidden/>
              </w:rPr>
              <w:fldChar w:fldCharType="end"/>
            </w:r>
          </w:hyperlink>
        </w:p>
        <w:p w14:paraId="0EA6974C" w14:textId="77777777" w:rsidR="00552F5A" w:rsidRDefault="00057A0E">
          <w:pPr>
            <w:pStyle w:val="TM2"/>
            <w:tabs>
              <w:tab w:val="right" w:leader="dot" w:pos="9054"/>
            </w:tabs>
            <w:rPr>
              <w:rFonts w:asciiTheme="minorHAnsi" w:eastAsiaTheme="minorEastAsia" w:hAnsiTheme="minorHAnsi" w:cstheme="minorBidi"/>
              <w:b w:val="0"/>
              <w:noProof/>
              <w:sz w:val="22"/>
              <w:szCs w:val="22"/>
              <w:lang w:val="fr-FR" w:eastAsia="fr-FR"/>
            </w:rPr>
          </w:pPr>
          <w:hyperlink w:anchor="_Toc20920769" w:history="1">
            <w:r w:rsidR="00552F5A" w:rsidRPr="00FE6D1E">
              <w:rPr>
                <w:rStyle w:val="Lienhypertexte"/>
                <w:noProof/>
              </w:rPr>
              <w:t>1. OUR REVENUES: STEADY FUNDING BUT STILL NEEDING DEVELOPMENT</w:t>
            </w:r>
            <w:r w:rsidR="00552F5A">
              <w:rPr>
                <w:noProof/>
                <w:webHidden/>
              </w:rPr>
              <w:tab/>
            </w:r>
            <w:r w:rsidR="00552F5A">
              <w:rPr>
                <w:noProof/>
                <w:webHidden/>
              </w:rPr>
              <w:fldChar w:fldCharType="begin"/>
            </w:r>
            <w:r w:rsidR="00552F5A">
              <w:rPr>
                <w:noProof/>
                <w:webHidden/>
              </w:rPr>
              <w:instrText xml:space="preserve"> PAGEREF _Toc20920769 \h </w:instrText>
            </w:r>
            <w:r w:rsidR="00552F5A">
              <w:rPr>
                <w:noProof/>
                <w:webHidden/>
              </w:rPr>
            </w:r>
            <w:r w:rsidR="00552F5A">
              <w:rPr>
                <w:noProof/>
                <w:webHidden/>
              </w:rPr>
              <w:fldChar w:fldCharType="separate"/>
            </w:r>
            <w:r w:rsidR="00552F5A">
              <w:rPr>
                <w:noProof/>
                <w:webHidden/>
              </w:rPr>
              <w:t>2</w:t>
            </w:r>
            <w:r w:rsidR="00552F5A">
              <w:rPr>
                <w:noProof/>
                <w:webHidden/>
              </w:rPr>
              <w:fldChar w:fldCharType="end"/>
            </w:r>
          </w:hyperlink>
        </w:p>
        <w:p w14:paraId="2806EECA" w14:textId="77777777" w:rsidR="00552F5A" w:rsidRDefault="00057A0E">
          <w:pPr>
            <w:pStyle w:val="TM2"/>
            <w:tabs>
              <w:tab w:val="right" w:leader="dot" w:pos="9054"/>
            </w:tabs>
            <w:rPr>
              <w:rFonts w:asciiTheme="minorHAnsi" w:eastAsiaTheme="minorEastAsia" w:hAnsiTheme="minorHAnsi" w:cstheme="minorBidi"/>
              <w:b w:val="0"/>
              <w:noProof/>
              <w:sz w:val="22"/>
              <w:szCs w:val="22"/>
              <w:lang w:val="fr-FR" w:eastAsia="fr-FR"/>
            </w:rPr>
          </w:pPr>
          <w:hyperlink w:anchor="_Toc20920770" w:history="1">
            <w:r w:rsidR="00552F5A" w:rsidRPr="00FE6D1E">
              <w:rPr>
                <w:rStyle w:val="Lienhypertexte"/>
                <w:noProof/>
              </w:rPr>
              <w:t>2. OUR EXPENDITURE: INCREASING BUT UNDER CONTROL</w:t>
            </w:r>
            <w:r w:rsidR="00552F5A">
              <w:rPr>
                <w:noProof/>
                <w:webHidden/>
              </w:rPr>
              <w:tab/>
            </w:r>
            <w:r w:rsidR="00552F5A">
              <w:rPr>
                <w:noProof/>
                <w:webHidden/>
              </w:rPr>
              <w:fldChar w:fldCharType="begin"/>
            </w:r>
            <w:r w:rsidR="00552F5A">
              <w:rPr>
                <w:noProof/>
                <w:webHidden/>
              </w:rPr>
              <w:instrText xml:space="preserve"> PAGEREF _Toc20920770 \h </w:instrText>
            </w:r>
            <w:r w:rsidR="00552F5A">
              <w:rPr>
                <w:noProof/>
                <w:webHidden/>
              </w:rPr>
            </w:r>
            <w:r w:rsidR="00552F5A">
              <w:rPr>
                <w:noProof/>
                <w:webHidden/>
              </w:rPr>
              <w:fldChar w:fldCharType="separate"/>
            </w:r>
            <w:r w:rsidR="00552F5A">
              <w:rPr>
                <w:noProof/>
                <w:webHidden/>
              </w:rPr>
              <w:t>5</w:t>
            </w:r>
            <w:r w:rsidR="00552F5A">
              <w:rPr>
                <w:noProof/>
                <w:webHidden/>
              </w:rPr>
              <w:fldChar w:fldCharType="end"/>
            </w:r>
          </w:hyperlink>
        </w:p>
        <w:p w14:paraId="2D038D5B" w14:textId="77777777" w:rsidR="00552F5A" w:rsidRDefault="00057A0E">
          <w:pPr>
            <w:pStyle w:val="TM2"/>
            <w:tabs>
              <w:tab w:val="right" w:leader="dot" w:pos="9054"/>
            </w:tabs>
            <w:rPr>
              <w:rFonts w:asciiTheme="minorHAnsi" w:eastAsiaTheme="minorEastAsia" w:hAnsiTheme="minorHAnsi" w:cstheme="minorBidi"/>
              <w:b w:val="0"/>
              <w:noProof/>
              <w:sz w:val="22"/>
              <w:szCs w:val="22"/>
              <w:lang w:val="fr-FR" w:eastAsia="fr-FR"/>
            </w:rPr>
          </w:pPr>
          <w:hyperlink w:anchor="_Toc20920771" w:history="1">
            <w:r w:rsidR="00552F5A" w:rsidRPr="00FE6D1E">
              <w:rPr>
                <w:rStyle w:val="Lienhypertexte"/>
                <w:noProof/>
              </w:rPr>
              <w:t>3. RESULTS REMAIN IN SURPLUS</w:t>
            </w:r>
            <w:r w:rsidR="00552F5A">
              <w:rPr>
                <w:noProof/>
                <w:webHidden/>
              </w:rPr>
              <w:tab/>
            </w:r>
            <w:r w:rsidR="00552F5A">
              <w:rPr>
                <w:noProof/>
                <w:webHidden/>
              </w:rPr>
              <w:fldChar w:fldCharType="begin"/>
            </w:r>
            <w:r w:rsidR="00552F5A">
              <w:rPr>
                <w:noProof/>
                <w:webHidden/>
              </w:rPr>
              <w:instrText xml:space="preserve"> PAGEREF _Toc20920771 \h </w:instrText>
            </w:r>
            <w:r w:rsidR="00552F5A">
              <w:rPr>
                <w:noProof/>
                <w:webHidden/>
              </w:rPr>
            </w:r>
            <w:r w:rsidR="00552F5A">
              <w:rPr>
                <w:noProof/>
                <w:webHidden/>
              </w:rPr>
              <w:fldChar w:fldCharType="separate"/>
            </w:r>
            <w:r w:rsidR="00552F5A">
              <w:rPr>
                <w:noProof/>
                <w:webHidden/>
              </w:rPr>
              <w:t>6</w:t>
            </w:r>
            <w:r w:rsidR="00552F5A">
              <w:rPr>
                <w:noProof/>
                <w:webHidden/>
              </w:rPr>
              <w:fldChar w:fldCharType="end"/>
            </w:r>
          </w:hyperlink>
        </w:p>
        <w:p w14:paraId="7C52AAF4" w14:textId="77777777" w:rsidR="00552F5A" w:rsidRDefault="00057A0E">
          <w:pPr>
            <w:pStyle w:val="TM1"/>
            <w:tabs>
              <w:tab w:val="right" w:leader="dot" w:pos="9054"/>
            </w:tabs>
            <w:rPr>
              <w:rFonts w:asciiTheme="minorHAnsi" w:eastAsiaTheme="minorEastAsia" w:hAnsiTheme="minorHAnsi" w:cstheme="minorBidi"/>
              <w:b w:val="0"/>
              <w:noProof/>
              <w:kern w:val="0"/>
              <w:sz w:val="22"/>
              <w:szCs w:val="22"/>
              <w:lang w:val="fr-FR" w:eastAsia="fr-FR"/>
            </w:rPr>
          </w:pPr>
          <w:hyperlink w:anchor="_Toc20920772" w:history="1">
            <w:r w:rsidR="00552F5A" w:rsidRPr="00FE6D1E">
              <w:rPr>
                <w:rStyle w:val="Lienhypertexte"/>
                <w:noProof/>
              </w:rPr>
              <w:t>II TRANSPARENT FUNDING</w:t>
            </w:r>
            <w:r w:rsidR="00552F5A">
              <w:rPr>
                <w:noProof/>
                <w:webHidden/>
              </w:rPr>
              <w:tab/>
            </w:r>
            <w:r w:rsidR="00552F5A">
              <w:rPr>
                <w:noProof/>
                <w:webHidden/>
              </w:rPr>
              <w:fldChar w:fldCharType="begin"/>
            </w:r>
            <w:r w:rsidR="00552F5A">
              <w:rPr>
                <w:noProof/>
                <w:webHidden/>
              </w:rPr>
              <w:instrText xml:space="preserve"> PAGEREF _Toc20920772 \h </w:instrText>
            </w:r>
            <w:r w:rsidR="00552F5A">
              <w:rPr>
                <w:noProof/>
                <w:webHidden/>
              </w:rPr>
            </w:r>
            <w:r w:rsidR="00552F5A">
              <w:rPr>
                <w:noProof/>
                <w:webHidden/>
              </w:rPr>
              <w:fldChar w:fldCharType="separate"/>
            </w:r>
            <w:r w:rsidR="00552F5A">
              <w:rPr>
                <w:noProof/>
                <w:webHidden/>
              </w:rPr>
              <w:t>7</w:t>
            </w:r>
            <w:r w:rsidR="00552F5A">
              <w:rPr>
                <w:noProof/>
                <w:webHidden/>
              </w:rPr>
              <w:fldChar w:fldCharType="end"/>
            </w:r>
          </w:hyperlink>
        </w:p>
        <w:p w14:paraId="0A755D1D" w14:textId="77777777" w:rsidR="00552F5A" w:rsidRDefault="00057A0E">
          <w:pPr>
            <w:pStyle w:val="TM1"/>
            <w:tabs>
              <w:tab w:val="right" w:leader="dot" w:pos="9054"/>
            </w:tabs>
            <w:rPr>
              <w:rFonts w:asciiTheme="minorHAnsi" w:eastAsiaTheme="minorEastAsia" w:hAnsiTheme="minorHAnsi" w:cstheme="minorBidi"/>
              <w:b w:val="0"/>
              <w:noProof/>
              <w:kern w:val="0"/>
              <w:sz w:val="22"/>
              <w:szCs w:val="22"/>
              <w:lang w:val="fr-FR" w:eastAsia="fr-FR"/>
            </w:rPr>
          </w:pPr>
          <w:hyperlink w:anchor="_Toc20920773" w:history="1">
            <w:r w:rsidR="00552F5A" w:rsidRPr="00FE6D1E">
              <w:rPr>
                <w:rStyle w:val="Lienhypertexte"/>
                <w:noProof/>
              </w:rPr>
              <w:t>III A FUND ABLE TO SUPPORT OUR MEMBERS IN TIME OF NEED</w:t>
            </w:r>
            <w:r w:rsidR="00552F5A">
              <w:rPr>
                <w:noProof/>
                <w:webHidden/>
              </w:rPr>
              <w:tab/>
            </w:r>
            <w:r w:rsidR="00552F5A">
              <w:rPr>
                <w:noProof/>
                <w:webHidden/>
              </w:rPr>
              <w:fldChar w:fldCharType="begin"/>
            </w:r>
            <w:r w:rsidR="00552F5A">
              <w:rPr>
                <w:noProof/>
                <w:webHidden/>
              </w:rPr>
              <w:instrText xml:space="preserve"> PAGEREF _Toc20920773 \h </w:instrText>
            </w:r>
            <w:r w:rsidR="00552F5A">
              <w:rPr>
                <w:noProof/>
                <w:webHidden/>
              </w:rPr>
            </w:r>
            <w:r w:rsidR="00552F5A">
              <w:rPr>
                <w:noProof/>
                <w:webHidden/>
              </w:rPr>
              <w:fldChar w:fldCharType="separate"/>
            </w:r>
            <w:r w:rsidR="00552F5A">
              <w:rPr>
                <w:noProof/>
                <w:webHidden/>
              </w:rPr>
              <w:t>7</w:t>
            </w:r>
            <w:r w:rsidR="00552F5A">
              <w:rPr>
                <w:noProof/>
                <w:webHidden/>
              </w:rPr>
              <w:fldChar w:fldCharType="end"/>
            </w:r>
          </w:hyperlink>
        </w:p>
        <w:p w14:paraId="5381C86C" w14:textId="77777777" w:rsidR="00552F5A" w:rsidRDefault="00057A0E">
          <w:pPr>
            <w:pStyle w:val="TM1"/>
            <w:tabs>
              <w:tab w:val="right" w:leader="dot" w:pos="9054"/>
            </w:tabs>
            <w:rPr>
              <w:rFonts w:asciiTheme="minorHAnsi" w:eastAsiaTheme="minorEastAsia" w:hAnsiTheme="minorHAnsi" w:cstheme="minorBidi"/>
              <w:b w:val="0"/>
              <w:noProof/>
              <w:kern w:val="0"/>
              <w:sz w:val="22"/>
              <w:szCs w:val="22"/>
              <w:lang w:val="fr-FR" w:eastAsia="fr-FR"/>
            </w:rPr>
          </w:pPr>
          <w:hyperlink w:anchor="_Toc20920774" w:history="1">
            <w:r w:rsidR="00552F5A" w:rsidRPr="00FE6D1E">
              <w:rPr>
                <w:rStyle w:val="Lienhypertexte"/>
                <w:noProof/>
              </w:rPr>
              <w:t>IV DELIBERATIONS OF THE GENERAL ASSSEMBLY</w:t>
            </w:r>
            <w:r w:rsidR="00552F5A">
              <w:rPr>
                <w:noProof/>
                <w:webHidden/>
              </w:rPr>
              <w:tab/>
            </w:r>
            <w:r w:rsidR="00552F5A">
              <w:rPr>
                <w:noProof/>
                <w:webHidden/>
              </w:rPr>
              <w:fldChar w:fldCharType="begin"/>
            </w:r>
            <w:r w:rsidR="00552F5A">
              <w:rPr>
                <w:noProof/>
                <w:webHidden/>
              </w:rPr>
              <w:instrText xml:space="preserve"> PAGEREF _Toc20920774 \h </w:instrText>
            </w:r>
            <w:r w:rsidR="00552F5A">
              <w:rPr>
                <w:noProof/>
                <w:webHidden/>
              </w:rPr>
            </w:r>
            <w:r w:rsidR="00552F5A">
              <w:rPr>
                <w:noProof/>
                <w:webHidden/>
              </w:rPr>
              <w:fldChar w:fldCharType="separate"/>
            </w:r>
            <w:r w:rsidR="00552F5A">
              <w:rPr>
                <w:noProof/>
                <w:webHidden/>
              </w:rPr>
              <w:t>8</w:t>
            </w:r>
            <w:r w:rsidR="00552F5A">
              <w:rPr>
                <w:noProof/>
                <w:webHidden/>
              </w:rPr>
              <w:fldChar w:fldCharType="end"/>
            </w:r>
          </w:hyperlink>
        </w:p>
        <w:p w14:paraId="34F2BB7D" w14:textId="77777777" w:rsidR="00552F5A" w:rsidRDefault="00057A0E">
          <w:pPr>
            <w:pStyle w:val="TM2"/>
            <w:tabs>
              <w:tab w:val="right" w:leader="dot" w:pos="9054"/>
            </w:tabs>
            <w:rPr>
              <w:rFonts w:asciiTheme="minorHAnsi" w:eastAsiaTheme="minorEastAsia" w:hAnsiTheme="minorHAnsi" w:cstheme="minorBidi"/>
              <w:b w:val="0"/>
              <w:noProof/>
              <w:sz w:val="22"/>
              <w:szCs w:val="22"/>
              <w:lang w:val="fr-FR" w:eastAsia="fr-FR"/>
            </w:rPr>
          </w:pPr>
          <w:hyperlink w:anchor="_Toc20920775" w:history="1">
            <w:r w:rsidR="00552F5A" w:rsidRPr="00FE6D1E">
              <w:rPr>
                <w:rStyle w:val="Lienhypertexte"/>
                <w:noProof/>
              </w:rPr>
              <w:t>1. CONFIRMATION OF THE DECISION TO EXCLUDE AZERBAIJAN AND GEORGIA</w:t>
            </w:r>
            <w:r w:rsidR="00552F5A">
              <w:rPr>
                <w:noProof/>
                <w:webHidden/>
              </w:rPr>
              <w:tab/>
            </w:r>
            <w:r w:rsidR="00552F5A">
              <w:rPr>
                <w:noProof/>
                <w:webHidden/>
              </w:rPr>
              <w:fldChar w:fldCharType="begin"/>
            </w:r>
            <w:r w:rsidR="00552F5A">
              <w:rPr>
                <w:noProof/>
                <w:webHidden/>
              </w:rPr>
              <w:instrText xml:space="preserve"> PAGEREF _Toc20920775 \h </w:instrText>
            </w:r>
            <w:r w:rsidR="00552F5A">
              <w:rPr>
                <w:noProof/>
                <w:webHidden/>
              </w:rPr>
            </w:r>
            <w:r w:rsidR="00552F5A">
              <w:rPr>
                <w:noProof/>
                <w:webHidden/>
              </w:rPr>
              <w:fldChar w:fldCharType="separate"/>
            </w:r>
            <w:r w:rsidR="00552F5A">
              <w:rPr>
                <w:noProof/>
                <w:webHidden/>
              </w:rPr>
              <w:t>8</w:t>
            </w:r>
            <w:r w:rsidR="00552F5A">
              <w:rPr>
                <w:noProof/>
                <w:webHidden/>
              </w:rPr>
              <w:fldChar w:fldCharType="end"/>
            </w:r>
          </w:hyperlink>
        </w:p>
        <w:p w14:paraId="5F0F8599" w14:textId="77777777" w:rsidR="00552F5A" w:rsidRDefault="00057A0E">
          <w:pPr>
            <w:pStyle w:val="TM2"/>
            <w:tabs>
              <w:tab w:val="right" w:leader="dot" w:pos="9054"/>
            </w:tabs>
            <w:rPr>
              <w:rFonts w:asciiTheme="minorHAnsi" w:eastAsiaTheme="minorEastAsia" w:hAnsiTheme="minorHAnsi" w:cstheme="minorBidi"/>
              <w:b w:val="0"/>
              <w:noProof/>
              <w:sz w:val="22"/>
              <w:szCs w:val="22"/>
              <w:lang w:val="fr-FR" w:eastAsia="fr-FR"/>
            </w:rPr>
          </w:pPr>
          <w:hyperlink w:anchor="_Toc20920776" w:history="1">
            <w:r w:rsidR="00552F5A" w:rsidRPr="00FE6D1E">
              <w:rPr>
                <w:rStyle w:val="Lienhypertexte"/>
                <w:noProof/>
              </w:rPr>
              <w:t>2. LEVEL OF CONTRIBUTION</w:t>
            </w:r>
            <w:r w:rsidR="00552F5A">
              <w:rPr>
                <w:noProof/>
                <w:webHidden/>
              </w:rPr>
              <w:tab/>
            </w:r>
            <w:r w:rsidR="00552F5A">
              <w:rPr>
                <w:noProof/>
                <w:webHidden/>
              </w:rPr>
              <w:fldChar w:fldCharType="begin"/>
            </w:r>
            <w:r w:rsidR="00552F5A">
              <w:rPr>
                <w:noProof/>
                <w:webHidden/>
              </w:rPr>
              <w:instrText xml:space="preserve"> PAGEREF _Toc20920776 \h </w:instrText>
            </w:r>
            <w:r w:rsidR="00552F5A">
              <w:rPr>
                <w:noProof/>
                <w:webHidden/>
              </w:rPr>
            </w:r>
            <w:r w:rsidR="00552F5A">
              <w:rPr>
                <w:noProof/>
                <w:webHidden/>
              </w:rPr>
              <w:fldChar w:fldCharType="separate"/>
            </w:r>
            <w:r w:rsidR="00552F5A">
              <w:rPr>
                <w:noProof/>
                <w:webHidden/>
              </w:rPr>
              <w:t>9</w:t>
            </w:r>
            <w:r w:rsidR="00552F5A">
              <w:rPr>
                <w:noProof/>
                <w:webHidden/>
              </w:rPr>
              <w:fldChar w:fldCharType="end"/>
            </w:r>
          </w:hyperlink>
        </w:p>
        <w:p w14:paraId="71851A97" w14:textId="77777777" w:rsidR="00552F5A" w:rsidRDefault="00057A0E">
          <w:pPr>
            <w:pStyle w:val="TM2"/>
            <w:tabs>
              <w:tab w:val="right" w:leader="dot" w:pos="9054"/>
            </w:tabs>
            <w:rPr>
              <w:rFonts w:asciiTheme="minorHAnsi" w:eastAsiaTheme="minorEastAsia" w:hAnsiTheme="minorHAnsi" w:cstheme="minorBidi"/>
              <w:b w:val="0"/>
              <w:noProof/>
              <w:sz w:val="22"/>
              <w:szCs w:val="22"/>
              <w:lang w:val="fr-FR" w:eastAsia="fr-FR"/>
            </w:rPr>
          </w:pPr>
          <w:hyperlink w:anchor="_Toc20920777" w:history="1">
            <w:r w:rsidR="00552F5A" w:rsidRPr="00FE6D1E">
              <w:rPr>
                <w:rStyle w:val="Lienhypertexte"/>
                <w:noProof/>
              </w:rPr>
              <w:t>3. EXTERNAL AUDIT</w:t>
            </w:r>
            <w:r w:rsidR="00552F5A">
              <w:rPr>
                <w:noProof/>
                <w:webHidden/>
              </w:rPr>
              <w:tab/>
            </w:r>
            <w:r w:rsidR="00552F5A">
              <w:rPr>
                <w:noProof/>
                <w:webHidden/>
              </w:rPr>
              <w:fldChar w:fldCharType="begin"/>
            </w:r>
            <w:r w:rsidR="00552F5A">
              <w:rPr>
                <w:noProof/>
                <w:webHidden/>
              </w:rPr>
              <w:instrText xml:space="preserve"> PAGEREF _Toc20920777 \h </w:instrText>
            </w:r>
            <w:r w:rsidR="00552F5A">
              <w:rPr>
                <w:noProof/>
                <w:webHidden/>
              </w:rPr>
            </w:r>
            <w:r w:rsidR="00552F5A">
              <w:rPr>
                <w:noProof/>
                <w:webHidden/>
              </w:rPr>
              <w:fldChar w:fldCharType="separate"/>
            </w:r>
            <w:r w:rsidR="00552F5A">
              <w:rPr>
                <w:noProof/>
                <w:webHidden/>
              </w:rPr>
              <w:t>9</w:t>
            </w:r>
            <w:r w:rsidR="00552F5A">
              <w:rPr>
                <w:noProof/>
                <w:webHidden/>
              </w:rPr>
              <w:fldChar w:fldCharType="end"/>
            </w:r>
          </w:hyperlink>
        </w:p>
        <w:p w14:paraId="1A5A1529" w14:textId="77777777" w:rsidR="00552F5A" w:rsidRDefault="00057A0E">
          <w:pPr>
            <w:pStyle w:val="TM1"/>
            <w:tabs>
              <w:tab w:val="right" w:leader="dot" w:pos="9054"/>
            </w:tabs>
            <w:rPr>
              <w:rFonts w:asciiTheme="minorHAnsi" w:eastAsiaTheme="minorEastAsia" w:hAnsiTheme="minorHAnsi" w:cstheme="minorBidi"/>
              <w:b w:val="0"/>
              <w:noProof/>
              <w:kern w:val="0"/>
              <w:sz w:val="22"/>
              <w:szCs w:val="22"/>
              <w:lang w:val="fr-FR" w:eastAsia="fr-FR"/>
            </w:rPr>
          </w:pPr>
          <w:hyperlink w:anchor="_Toc20920778" w:history="1">
            <w:r w:rsidR="00552F5A" w:rsidRPr="00FE6D1E">
              <w:rPr>
                <w:rStyle w:val="Lienhypertexte"/>
                <w:noProof/>
              </w:rPr>
              <w:t>CONCLUSION</w:t>
            </w:r>
            <w:r w:rsidR="00552F5A">
              <w:rPr>
                <w:noProof/>
                <w:webHidden/>
              </w:rPr>
              <w:tab/>
            </w:r>
            <w:r w:rsidR="00552F5A">
              <w:rPr>
                <w:noProof/>
                <w:webHidden/>
              </w:rPr>
              <w:fldChar w:fldCharType="begin"/>
            </w:r>
            <w:r w:rsidR="00552F5A">
              <w:rPr>
                <w:noProof/>
                <w:webHidden/>
              </w:rPr>
              <w:instrText xml:space="preserve"> PAGEREF _Toc20920778 \h </w:instrText>
            </w:r>
            <w:r w:rsidR="00552F5A">
              <w:rPr>
                <w:noProof/>
                <w:webHidden/>
              </w:rPr>
            </w:r>
            <w:r w:rsidR="00552F5A">
              <w:rPr>
                <w:noProof/>
                <w:webHidden/>
              </w:rPr>
              <w:fldChar w:fldCharType="separate"/>
            </w:r>
            <w:r w:rsidR="00552F5A">
              <w:rPr>
                <w:noProof/>
                <w:webHidden/>
              </w:rPr>
              <w:t>10</w:t>
            </w:r>
            <w:r w:rsidR="00552F5A">
              <w:rPr>
                <w:noProof/>
                <w:webHidden/>
              </w:rPr>
              <w:fldChar w:fldCharType="end"/>
            </w:r>
          </w:hyperlink>
        </w:p>
        <w:p w14:paraId="7085E2D8" w14:textId="0CEA7494" w:rsidR="00552F5A" w:rsidRDefault="00552F5A">
          <w:r>
            <w:rPr>
              <w:b/>
              <w:bCs/>
            </w:rPr>
            <w:fldChar w:fldCharType="end"/>
          </w:r>
        </w:p>
      </w:sdtContent>
    </w:sdt>
    <w:p w14:paraId="692F5884" w14:textId="77777777" w:rsidR="00E65394" w:rsidRPr="00480866" w:rsidRDefault="00E65394" w:rsidP="00480866">
      <w:pPr>
        <w:jc w:val="left"/>
      </w:pPr>
    </w:p>
    <w:p w14:paraId="5863C0AE" w14:textId="0097546C" w:rsidR="00E65394" w:rsidRPr="00480866" w:rsidRDefault="00E65394" w:rsidP="00480866">
      <w:pPr>
        <w:jc w:val="left"/>
      </w:pPr>
      <w:r w:rsidRPr="00480866">
        <w:t xml:space="preserve">An organisation's performance is measured by all </w:t>
      </w:r>
      <w:r w:rsidR="00D80EAB" w:rsidRPr="00480866">
        <w:t xml:space="preserve">the </w:t>
      </w:r>
      <w:r w:rsidRPr="00480866">
        <w:t xml:space="preserve">tangible results it achieves, the diversity and number of the projects it conducts, its visibility and the cohesion of its members. Others will </w:t>
      </w:r>
      <w:r w:rsidR="00D80EAB" w:rsidRPr="00480866">
        <w:t>talk</w:t>
      </w:r>
      <w:r w:rsidRPr="00480866">
        <w:t xml:space="preserve"> before you </w:t>
      </w:r>
      <w:r w:rsidR="00D80EAB" w:rsidRPr="00480866">
        <w:t xml:space="preserve">on </w:t>
      </w:r>
      <w:r w:rsidRPr="00480866">
        <w:t xml:space="preserve">these different aspects, which, however, all have one common factor: they </w:t>
      </w:r>
      <w:r w:rsidR="002242C1" w:rsidRPr="00480866">
        <w:t xml:space="preserve">can </w:t>
      </w:r>
      <w:r w:rsidRPr="00480866">
        <w:t xml:space="preserve">only be attained once a sine qua non condition has been fulfilled, by which I mean a healthy financial state, because, as </w:t>
      </w:r>
      <w:r w:rsidR="00D80EAB" w:rsidRPr="00480866">
        <w:t>we all know</w:t>
      </w:r>
      <w:r w:rsidRPr="00480866">
        <w:t xml:space="preserve">, 'money </w:t>
      </w:r>
      <w:r w:rsidR="00D80EAB" w:rsidRPr="00480866">
        <w:t>makes the world go round'</w:t>
      </w:r>
      <w:r w:rsidRPr="00480866">
        <w:t xml:space="preserve">. It is therefore this important </w:t>
      </w:r>
      <w:r w:rsidR="00D80EAB" w:rsidRPr="00480866">
        <w:t>topic</w:t>
      </w:r>
      <w:r w:rsidRPr="00480866">
        <w:t xml:space="preserve"> that I shall </w:t>
      </w:r>
      <w:r w:rsidR="00D80EAB" w:rsidRPr="00480866">
        <w:t>talk of</w:t>
      </w:r>
      <w:r w:rsidRPr="00480866">
        <w:t xml:space="preserve"> before you, which I shall do as clearly and simply as possible so as not to drown you under a weight of figures; you will find the </w:t>
      </w:r>
      <w:r w:rsidR="00D80EAB" w:rsidRPr="00480866">
        <w:t>main elements of the accou</w:t>
      </w:r>
      <w:r w:rsidRPr="00480866">
        <w:t xml:space="preserve">nting statements and balance sheets in the </w:t>
      </w:r>
      <w:r w:rsidRPr="00480866">
        <w:lastRenderedPageBreak/>
        <w:t xml:space="preserve">comparative tables in annexe 1 attached to this report, and all my annual reports are also at your disposal. I shall focus more upon </w:t>
      </w:r>
      <w:r w:rsidR="00D80EAB" w:rsidRPr="00480866">
        <w:t>the</w:t>
      </w:r>
      <w:r w:rsidRPr="00480866">
        <w:t xml:space="preserve"> efforts made over </w:t>
      </w:r>
      <w:r w:rsidR="00D80EAB" w:rsidRPr="00480866">
        <w:t>the</w:t>
      </w:r>
      <w:r w:rsidRPr="00480866">
        <w:t xml:space="preserve"> four years 2015 to 2019 to ensure that the European Union of </w:t>
      </w:r>
      <w:r w:rsidR="00D80EAB" w:rsidRPr="00480866">
        <w:t>the</w:t>
      </w:r>
      <w:r w:rsidRPr="00480866">
        <w:t xml:space="preserve"> Blind has a healthy and transparent </w:t>
      </w:r>
      <w:r w:rsidR="00D6608F" w:rsidRPr="00480866">
        <w:t>cash flow</w:t>
      </w:r>
      <w:r w:rsidRPr="00480866">
        <w:t>, able to support its members' actions in case of need.</w:t>
      </w:r>
    </w:p>
    <w:p w14:paraId="05E3AF4D" w14:textId="77777777" w:rsidR="00E65394" w:rsidRPr="00480866" w:rsidRDefault="00E65394" w:rsidP="00480866">
      <w:pPr>
        <w:jc w:val="left"/>
      </w:pPr>
    </w:p>
    <w:p w14:paraId="0AC8D985" w14:textId="3BA520D2" w:rsidR="00E65394" w:rsidRPr="000D6452" w:rsidRDefault="002242C1" w:rsidP="000D6452">
      <w:pPr>
        <w:pStyle w:val="Titre1"/>
      </w:pPr>
      <w:bookmarkStart w:id="0" w:name="_Toc20920768"/>
      <w:r w:rsidRPr="000D6452">
        <w:t>I</w:t>
      </w:r>
      <w:r w:rsidR="00E65394" w:rsidRPr="000D6452">
        <w:t>.</w:t>
      </w:r>
      <w:r w:rsidR="00D6608F" w:rsidRPr="000D6452">
        <w:tab/>
      </w:r>
      <w:r w:rsidR="00D80EAB" w:rsidRPr="000D6452">
        <w:t>A HEALTHY CASH FLOW</w:t>
      </w:r>
      <w:bookmarkEnd w:id="0"/>
      <w:r w:rsidR="00D80EAB" w:rsidRPr="000D6452">
        <w:t xml:space="preserve"> </w:t>
      </w:r>
    </w:p>
    <w:p w14:paraId="564D6DCD" w14:textId="24906B8E" w:rsidR="00D6608F" w:rsidRPr="000D6452" w:rsidRDefault="00D6608F" w:rsidP="000D6452">
      <w:pPr>
        <w:pStyle w:val="Titre2"/>
      </w:pPr>
      <w:r w:rsidRPr="000D6452">
        <w:rPr>
          <w:u w:val="none"/>
        </w:rPr>
        <w:tab/>
      </w:r>
      <w:bookmarkStart w:id="1" w:name="_Toc20920769"/>
      <w:r w:rsidR="00D80EAB" w:rsidRPr="000D6452">
        <w:t>1. OUR REVENUES: STEADY FUNDING BUT STILL NEEDING DEVELOPMENT</w:t>
      </w:r>
      <w:bookmarkEnd w:id="1"/>
    </w:p>
    <w:p w14:paraId="737A2AEF" w14:textId="2E6502F2" w:rsidR="00D6608F" w:rsidRPr="00480866" w:rsidRDefault="00D6608F" w:rsidP="00480866">
      <w:pPr>
        <w:jc w:val="left"/>
      </w:pPr>
      <w:r w:rsidRPr="00480866">
        <w:t xml:space="preserve">Despite a slight drop in 2015, the annual total amount of our </w:t>
      </w:r>
      <w:r w:rsidR="00D80EAB" w:rsidRPr="00480866">
        <w:t>funding</w:t>
      </w:r>
      <w:r w:rsidRPr="00480866">
        <w:t xml:space="preserve"> has remained stable during these four years:</w:t>
      </w:r>
    </w:p>
    <w:p w14:paraId="30CE0E62" w14:textId="1A3343DE" w:rsidR="00D6608F" w:rsidRPr="00480866" w:rsidRDefault="00D6608F" w:rsidP="00480866">
      <w:pPr>
        <w:jc w:val="left"/>
      </w:pPr>
      <w:r w:rsidRPr="00480866">
        <w:t xml:space="preserve">Thanks to the excellent work of our project officer, the operating grant awarded to us annually under the auspices of the REC programme of the European Commission has grown by 29.3% between 2015 and 2018; it represents 48% of our resources this year. We should bear in mind that this grant is considered part of the </w:t>
      </w:r>
      <w:r w:rsidR="00AB4315" w:rsidRPr="00480866">
        <w:t>accounts consolidated as 'REC expenses' to cover 80% of specific expenses for the different projects accepted by the Commission (</w:t>
      </w:r>
      <w:r w:rsidR="002D43F4" w:rsidRPr="00480866">
        <w:t>travel</w:t>
      </w:r>
      <w:r w:rsidR="00AB4315" w:rsidRPr="00480866">
        <w:t xml:space="preserve"> costs, translation of documents such as our newsletter or various reports, external evaluation, training and lobbying). The grant is furthermore used to finance an important part of our general expenditure and </w:t>
      </w:r>
      <w:r w:rsidR="002D43F4" w:rsidRPr="00480866">
        <w:t>above all</w:t>
      </w:r>
      <w:r w:rsidR="00AB4315" w:rsidRPr="00480866">
        <w:t xml:space="preserve"> a not unimportant part of salaries.</w:t>
      </w:r>
    </w:p>
    <w:p w14:paraId="30D39290" w14:textId="64561BAA" w:rsidR="00A66282" w:rsidRPr="00480866" w:rsidRDefault="00B45411" w:rsidP="00480866">
      <w:pPr>
        <w:jc w:val="left"/>
      </w:pPr>
      <w:r w:rsidRPr="00480866">
        <w:t xml:space="preserve">Following the proposal of my predecessor, Vincent MICHEL, </w:t>
      </w:r>
      <w:r w:rsidR="002D43F4" w:rsidRPr="00480866">
        <w:t xml:space="preserve">the rates of </w:t>
      </w:r>
      <w:r w:rsidR="00185A5D" w:rsidRPr="00480866">
        <w:t xml:space="preserve">our members' </w:t>
      </w:r>
      <w:r w:rsidR="002D43F4" w:rsidRPr="00480866">
        <w:t>contributions</w:t>
      </w:r>
      <w:r w:rsidR="00185A5D" w:rsidRPr="00480866">
        <w:t xml:space="preserve"> have been stabilised since our General Assembly in 2015. We have to thank him warmly for this</w:t>
      </w:r>
      <w:r w:rsidR="002D43F4" w:rsidRPr="00480866">
        <w:t>,</w:t>
      </w:r>
      <w:r w:rsidR="00185A5D" w:rsidRPr="00480866">
        <w:t xml:space="preserve"> since, after an increase of 20% the first year, the </w:t>
      </w:r>
      <w:r w:rsidR="005B22CB" w:rsidRPr="00480866">
        <w:t>contributions</w:t>
      </w:r>
      <w:r w:rsidR="00185A5D" w:rsidRPr="00480866">
        <w:t xml:space="preserve"> have remained at a very satisfactory level, in line with the bu</w:t>
      </w:r>
      <w:r w:rsidR="002D43F4" w:rsidRPr="00480866">
        <w:t>dget estimates, and represent</w:t>
      </w:r>
      <w:r w:rsidR="00185A5D" w:rsidRPr="00480866">
        <w:t xml:space="preserve"> 44% of our resources in 2018. If they remain divided into four groups, according to the wealth of </w:t>
      </w:r>
      <w:r w:rsidR="00D80EAB" w:rsidRPr="00480866">
        <w:t>the</w:t>
      </w:r>
      <w:r w:rsidR="00185A5D" w:rsidRPr="00480866">
        <w:t xml:space="preserve"> diffe</w:t>
      </w:r>
      <w:r w:rsidR="002D43F4" w:rsidRPr="00480866">
        <w:t>rent countries, it should be n</w:t>
      </w:r>
      <w:r w:rsidR="00185A5D" w:rsidRPr="00480866">
        <w:t xml:space="preserve">oted that Iceland has been reclassified </w:t>
      </w:r>
      <w:r w:rsidR="00540D11" w:rsidRPr="00480866">
        <w:t xml:space="preserve">from group 2 to group 3 and that 20 other </w:t>
      </w:r>
      <w:r w:rsidR="00540D11" w:rsidRPr="00480866">
        <w:lastRenderedPageBreak/>
        <w:t>members have, at their request, benefitted during this period from</w:t>
      </w:r>
      <w:r w:rsidR="00185A5D" w:rsidRPr="00480866">
        <w:t xml:space="preserve"> </w:t>
      </w:r>
      <w:r w:rsidR="00540D11" w:rsidRPr="00480866">
        <w:t>reductions ranging from 10</w:t>
      </w:r>
      <w:r w:rsidR="002D43F4" w:rsidRPr="00480866">
        <w:t>%</w:t>
      </w:r>
      <w:r w:rsidR="00540D11" w:rsidRPr="00480866">
        <w:t xml:space="preserve"> to 50%</w:t>
      </w:r>
      <w:r w:rsidR="002D43F4" w:rsidRPr="00480866">
        <w:t>,</w:t>
      </w:r>
      <w:r w:rsidR="00540D11" w:rsidRPr="00480866">
        <w:t xml:space="preserve"> as shown by the table in annex 2. We should note here that since 2015 ten countries have benefitted from </w:t>
      </w:r>
      <w:r w:rsidR="005B22CB" w:rsidRPr="00480866">
        <w:t>reductions</w:t>
      </w:r>
      <w:r w:rsidR="00540D11" w:rsidRPr="00480866">
        <w:t xml:space="preserve"> </w:t>
      </w:r>
      <w:r w:rsidR="002D43F4" w:rsidRPr="00480866">
        <w:t>in</w:t>
      </w:r>
      <w:r w:rsidR="00FC3535" w:rsidRPr="00480866">
        <w:t xml:space="preserve"> the</w:t>
      </w:r>
      <w:r w:rsidR="00540D11" w:rsidRPr="00480866">
        <w:t xml:space="preserve"> level of their subscription</w:t>
      </w:r>
      <w:r w:rsidR="00FC3535" w:rsidRPr="00480866">
        <w:t xml:space="preserve">; </w:t>
      </w:r>
      <w:r w:rsidR="002D43F4" w:rsidRPr="00480866">
        <w:t>these</w:t>
      </w:r>
      <w:r w:rsidR="00FC3535" w:rsidRPr="00480866">
        <w:t xml:space="preserve"> </w:t>
      </w:r>
      <w:r w:rsidR="005B22CB" w:rsidRPr="00480866">
        <w:t>reductions</w:t>
      </w:r>
      <w:r w:rsidR="00FC3535" w:rsidRPr="00480866">
        <w:t xml:space="preserve"> </w:t>
      </w:r>
      <w:r w:rsidR="002D43F4" w:rsidRPr="00480866">
        <w:t xml:space="preserve">have been extended </w:t>
      </w:r>
      <w:r w:rsidR="00FC3535" w:rsidRPr="00480866">
        <w:t xml:space="preserve">after bilateral discussion and a close study of each country's situation. I am convinced that </w:t>
      </w:r>
      <w:r w:rsidR="002D43F4" w:rsidRPr="00480866">
        <w:t xml:space="preserve">in most cases </w:t>
      </w:r>
      <w:r w:rsidR="00FC3535" w:rsidRPr="00480866">
        <w:t xml:space="preserve">these </w:t>
      </w:r>
      <w:r w:rsidR="00C06264" w:rsidRPr="00480866">
        <w:t>benefits</w:t>
      </w:r>
      <w:r w:rsidR="00A66282" w:rsidRPr="00480866">
        <w:t xml:space="preserve"> will need to be continued for the coming period, but each beneficiary is now invited to complete, preferably online, a form giving the precise reasons for the r</w:t>
      </w:r>
      <w:r w:rsidR="005B22CB" w:rsidRPr="00480866">
        <w:t xml:space="preserve">equest that the </w:t>
      </w:r>
      <w:r w:rsidR="002D43F4" w:rsidRPr="00480866">
        <w:t>contribution</w:t>
      </w:r>
      <w:r w:rsidR="005B22CB" w:rsidRPr="00480866">
        <w:t xml:space="preserve"> re</w:t>
      </w:r>
      <w:r w:rsidR="00A66282" w:rsidRPr="00480866">
        <w:t xml:space="preserve">main at this same level. To be taken into account all requests for </w:t>
      </w:r>
      <w:r w:rsidR="005B22CB" w:rsidRPr="00480866">
        <w:t>reduction</w:t>
      </w:r>
      <w:r w:rsidR="002D43F4" w:rsidRPr="00480866">
        <w:t xml:space="preserve"> must be accompa</w:t>
      </w:r>
      <w:r w:rsidR="00A66282" w:rsidRPr="00480866">
        <w:t xml:space="preserve">nied by this form and returned to us without fail by </w:t>
      </w:r>
      <w:r w:rsidR="00D80EAB" w:rsidRPr="00480866">
        <w:t>the</w:t>
      </w:r>
      <w:r w:rsidR="002D43F4" w:rsidRPr="00480866">
        <w:t xml:space="preserve"> 15th January at the latest</w:t>
      </w:r>
      <w:r w:rsidR="00A66282" w:rsidRPr="00480866">
        <w:t xml:space="preserve"> so that the Office in February can study all these requests together. This formality will be </w:t>
      </w:r>
      <w:r w:rsidR="002D43F4" w:rsidRPr="00480866">
        <w:t>required</w:t>
      </w:r>
      <w:r w:rsidR="00A66282" w:rsidRPr="00480866">
        <w:t xml:space="preserve"> every two years.</w:t>
      </w:r>
    </w:p>
    <w:p w14:paraId="6C0A8D4E" w14:textId="7473C670" w:rsidR="00AB4315" w:rsidRPr="00480866" w:rsidRDefault="00A66282" w:rsidP="00480866">
      <w:pPr>
        <w:jc w:val="left"/>
      </w:pPr>
      <w:r w:rsidRPr="00480866">
        <w:t xml:space="preserve">In conformity with article 7, paragraph 2.2.3 of our Constitution (see Annex III) </w:t>
      </w:r>
      <w:r w:rsidR="00490CF2" w:rsidRPr="00480866">
        <w:t>and after several meetings in which the</w:t>
      </w:r>
      <w:r w:rsidRPr="00480866">
        <w:t xml:space="preserve"> </w:t>
      </w:r>
      <w:r w:rsidR="00490CF2" w:rsidRPr="00480866">
        <w:t xml:space="preserve">European Blind Union </w:t>
      </w:r>
      <w:r w:rsidR="00A60D73">
        <w:t>Board</w:t>
      </w:r>
      <w:r w:rsidR="00A60D73" w:rsidRPr="00480866">
        <w:t xml:space="preserve"> </w:t>
      </w:r>
      <w:r w:rsidR="002D43F4" w:rsidRPr="00480866">
        <w:t>deferred</w:t>
      </w:r>
      <w:r w:rsidR="00490CF2" w:rsidRPr="00480866">
        <w:t xml:space="preserve"> this difficult decision, </w:t>
      </w:r>
      <w:r w:rsidR="00A60D73">
        <w:t>two</w:t>
      </w:r>
      <w:r w:rsidR="003D05EF">
        <w:t xml:space="preserve"> </w:t>
      </w:r>
      <w:r w:rsidR="00490CF2" w:rsidRPr="00480866">
        <w:t>countries have been deprived of their membership: Azerba</w:t>
      </w:r>
      <w:r w:rsidR="005B22CB" w:rsidRPr="00480866">
        <w:t>i</w:t>
      </w:r>
      <w:r w:rsidR="00490CF2" w:rsidRPr="00480866">
        <w:t>jan, which has not responded and has not paid its subscription since 2008, and Georgia, in the same position since 2010. Our attempts to make contact with these a</w:t>
      </w:r>
      <w:r w:rsidR="002D43F4" w:rsidRPr="00480866">
        <w:t>ssociations have been fruitless;</w:t>
      </w:r>
      <w:r w:rsidR="00490CF2" w:rsidRPr="00480866">
        <w:t xml:space="preserve"> we believe that the </w:t>
      </w:r>
      <w:r w:rsidR="00A60D73">
        <w:t xml:space="preserve">Board </w:t>
      </w:r>
      <w:r w:rsidR="00490CF2" w:rsidRPr="00480866">
        <w:t xml:space="preserve">must respect the Constitution, </w:t>
      </w:r>
      <w:r w:rsidR="005B22CB" w:rsidRPr="00480866">
        <w:t xml:space="preserve">and that the first obligation of every member of an organisation is to pay its contribution, which demonstrates the interest of that member. It is now our </w:t>
      </w:r>
      <w:r w:rsidR="002D43F4" w:rsidRPr="00480866">
        <w:t>duty</w:t>
      </w:r>
      <w:r w:rsidR="005B22CB" w:rsidRPr="00480866">
        <w:t xml:space="preserve"> to confirm that this decision is now final. In addition</w:t>
      </w:r>
      <w:r w:rsidR="002D43F4" w:rsidRPr="00480866">
        <w:t>,</w:t>
      </w:r>
      <w:r w:rsidR="005B22CB" w:rsidRPr="00480866">
        <w:t xml:space="preserve"> the Malta Blind </w:t>
      </w:r>
      <w:r w:rsidR="000D6452" w:rsidRPr="00480866">
        <w:t>Association</w:t>
      </w:r>
      <w:r w:rsidR="005B22CB" w:rsidRPr="00480866">
        <w:t xml:space="preserve"> has informed us of their wish to withdraw from the European Blind Union, and since o</w:t>
      </w:r>
      <w:r w:rsidR="002D43F4" w:rsidRPr="00480866">
        <w:t>ur attempts to dissuade them have</w:t>
      </w:r>
      <w:r w:rsidR="005B22CB" w:rsidRPr="00480866">
        <w:t xml:space="preserve"> been equally fruitless, we have with regret recognised their decision. </w:t>
      </w:r>
    </w:p>
    <w:p w14:paraId="69D24BBD" w14:textId="76B7BD21" w:rsidR="005B22CB" w:rsidRPr="00480866" w:rsidRDefault="005B22CB" w:rsidP="00480866">
      <w:pPr>
        <w:jc w:val="left"/>
      </w:pPr>
      <w:r w:rsidRPr="00480866">
        <w:t xml:space="preserve">Our other resources </w:t>
      </w:r>
      <w:r w:rsidR="00660289" w:rsidRPr="00480866">
        <w:t>are basically drawn from the ONKYO project, which has been renewed every year for over ten years; the change of bank in 2017 s</w:t>
      </w:r>
      <w:r w:rsidR="00696FB8" w:rsidRPr="00480866">
        <w:t>h</w:t>
      </w:r>
      <w:r w:rsidR="00660289" w:rsidRPr="00480866">
        <w:t xml:space="preserve">ould </w:t>
      </w:r>
      <w:r w:rsidR="00696FB8" w:rsidRPr="00480866">
        <w:t>enable</w:t>
      </w:r>
      <w:r w:rsidR="00660289" w:rsidRPr="00480866">
        <w:t xml:space="preserve"> us to increase our revenue slightly</w:t>
      </w:r>
      <w:r w:rsidR="00696FB8" w:rsidRPr="00480866">
        <w:t xml:space="preserve">; we have very </w:t>
      </w:r>
      <w:r w:rsidR="00696FB8" w:rsidRPr="00480866">
        <w:lastRenderedPageBreak/>
        <w:t xml:space="preserve">few donations and deeply regret that our generous donor, Mr CARDINAUX, who donated €206,000 to us in the course of the previous term of office, has </w:t>
      </w:r>
      <w:r w:rsidR="002D43F4" w:rsidRPr="00480866">
        <w:t>now ended all dona</w:t>
      </w:r>
      <w:r w:rsidR="00696FB8" w:rsidRPr="00480866">
        <w:t xml:space="preserve">tions to us. It is therefore imperative that we seek sponsors: I would like to share with you some words on this subject that seem to me important: To face </w:t>
      </w:r>
      <w:r w:rsidR="002D43F4" w:rsidRPr="00480866">
        <w:t xml:space="preserve">the </w:t>
      </w:r>
      <w:r w:rsidR="00696FB8" w:rsidRPr="00480866">
        <w:t xml:space="preserve">move </w:t>
      </w:r>
      <w:r w:rsidR="002D43F4" w:rsidRPr="00480866">
        <w:t xml:space="preserve">of companies </w:t>
      </w:r>
      <w:r w:rsidR="00696FB8" w:rsidRPr="00480866">
        <w:t xml:space="preserve">from philanthropy to sponsoring, EBU devised a Sponsorship Strategy, an Ethical Sponsorship Policy and sponsorship offers in late 2018. This set of documents provides a clearer intervention frame for the EBU office when </w:t>
      </w:r>
      <w:proofErr w:type="gramStart"/>
      <w:r w:rsidR="00696FB8" w:rsidRPr="00480866">
        <w:t>both approaching potential sponsors or</w:t>
      </w:r>
      <w:proofErr w:type="gramEnd"/>
      <w:r w:rsidR="00696FB8" w:rsidRPr="00480866">
        <w:t xml:space="preserve"> responding to collaboration offers. Contacts are mostly being made with assistive technology companies and optical pharmaceutical companies, i.e. niche markets. As a European NGO, EBU also approaches international companies. This should not be considered as interfering with national members’ own sponsoring options, especially when such companies initiate the collaboration. Sponsors want counterparts. EBU’s counterparts are mostly our information channels: website, newsletter, Focus, podcast, social media and events. Unfortunately, EBU’s low direct audience means a very low cost/benefit ratio for sponsors. Our members will therefore play a crucial role in the success of EBU’s sponsoring. The more they relay/translate information, the more poten</w:t>
      </w:r>
      <w:r w:rsidR="002D43F4" w:rsidRPr="00480866">
        <w:t>tial clients will be reached</w:t>
      </w:r>
      <w:r w:rsidR="00696FB8" w:rsidRPr="00480866">
        <w:t>, and the more companies will find interest in sponsoring EBU.</w:t>
      </w:r>
    </w:p>
    <w:p w14:paraId="656F0AF4" w14:textId="77777777" w:rsidR="00696FB8" w:rsidRPr="00480866" w:rsidRDefault="00696FB8" w:rsidP="00480866">
      <w:pPr>
        <w:jc w:val="left"/>
      </w:pPr>
    </w:p>
    <w:p w14:paraId="70042CD9" w14:textId="3F8FD4F1" w:rsidR="00696FB8" w:rsidRPr="00480866" w:rsidRDefault="00696FB8" w:rsidP="000D6452">
      <w:pPr>
        <w:pStyle w:val="Titre2"/>
      </w:pPr>
      <w:bookmarkStart w:id="2" w:name="_Toc20920770"/>
      <w:r w:rsidRPr="00480866">
        <w:t>2. OUR EXPENDITURE: INCREASING BUT UNDER CONTROL</w:t>
      </w:r>
      <w:bookmarkEnd w:id="2"/>
    </w:p>
    <w:p w14:paraId="6B39647C" w14:textId="79D01E70" w:rsidR="00696FB8" w:rsidRPr="00480866" w:rsidRDefault="00696FB8" w:rsidP="00480866">
      <w:pPr>
        <w:jc w:val="left"/>
      </w:pPr>
      <w:r w:rsidRPr="00480866">
        <w:t xml:space="preserve">Without taking into account the year 2015, in which expenditure increased because of the General Assembly, </w:t>
      </w:r>
      <w:r w:rsidR="00F70FDA" w:rsidRPr="00480866">
        <w:t xml:space="preserve">it can be seen that </w:t>
      </w:r>
      <w:r w:rsidR="002D43F4" w:rsidRPr="00480866">
        <w:t>expenditure</w:t>
      </w:r>
      <w:r w:rsidR="00F70FDA" w:rsidRPr="00480866">
        <w:t xml:space="preserve"> has increased by 27% in three years, this being particularly the case in 2018 for the reasons that we shall see below.</w:t>
      </w:r>
    </w:p>
    <w:p w14:paraId="13D0D95E" w14:textId="3BA3EFA4" w:rsidR="00696FB8" w:rsidRPr="00480866" w:rsidRDefault="00F70FDA" w:rsidP="00480866">
      <w:pPr>
        <w:jc w:val="left"/>
      </w:pPr>
      <w:r w:rsidRPr="00480866">
        <w:lastRenderedPageBreak/>
        <w:t>The s</w:t>
      </w:r>
      <w:r w:rsidR="002D43F4" w:rsidRPr="00480866">
        <w:t>a</w:t>
      </w:r>
      <w:r w:rsidRPr="00480866">
        <w:t xml:space="preserve">laries and costs of our five employees in the |Paris office represent 59% of our budget. Over this period we have: </w:t>
      </w:r>
      <w:r w:rsidR="00B85492" w:rsidRPr="00480866">
        <w:t xml:space="preserve">revised our calculation method for the seniority bonus, detailed the terms for granting overtime hours, </w:t>
      </w:r>
      <w:r w:rsidR="00754094" w:rsidRPr="00480866">
        <w:t xml:space="preserve">applied a 3% increase to all salaries from January 1st 2018 in line with French inflation, </w:t>
      </w:r>
      <w:r w:rsidR="002D43F4" w:rsidRPr="00480866">
        <w:t xml:space="preserve">and </w:t>
      </w:r>
      <w:r w:rsidR="00754094" w:rsidRPr="00480866">
        <w:t xml:space="preserve">increased the value of restaurant vouchers to €9. Each employee has benefited from an individual increase, with the exception of the lobbying officer hired in </w:t>
      </w:r>
      <w:r w:rsidR="00051E28" w:rsidRPr="00480866">
        <w:t xml:space="preserve">February 2018, which partly explains </w:t>
      </w:r>
      <w:r w:rsidR="00D80EAB" w:rsidRPr="00480866">
        <w:t>the</w:t>
      </w:r>
      <w:r w:rsidR="00051E28" w:rsidRPr="00480866">
        <w:t xml:space="preserve"> increase in s</w:t>
      </w:r>
      <w:r w:rsidR="002D43F4" w:rsidRPr="00480866">
        <w:t>a</w:t>
      </w:r>
      <w:r w:rsidR="00051E28" w:rsidRPr="00480866">
        <w:t xml:space="preserve">laries this year. We should remember here, as we stated above, that the REC programme </w:t>
      </w:r>
      <w:r w:rsidR="008B73A9" w:rsidRPr="00480866">
        <w:t>shoulders a significant part of these remunerations</w:t>
      </w:r>
      <w:r w:rsidR="002D43F4" w:rsidRPr="00480866">
        <w:t>,</w:t>
      </w:r>
      <w:r w:rsidR="008B73A9" w:rsidRPr="00480866">
        <w:t xml:space="preserve"> based on the estimated time which each employee spends on projects accepted by the European Commission.</w:t>
      </w:r>
    </w:p>
    <w:p w14:paraId="253302E2" w14:textId="589B2CCE" w:rsidR="008B73A9" w:rsidRPr="00480866" w:rsidRDefault="008B73A9" w:rsidP="00480866">
      <w:pPr>
        <w:jc w:val="left"/>
      </w:pPr>
      <w:r w:rsidRPr="00480866">
        <w:t>The REC programme also pays 80% of specific expenditure linked to the projects accepted, and a significant part of our general expenses.</w:t>
      </w:r>
    </w:p>
    <w:p w14:paraId="0E5471B7" w14:textId="6BA3FEA1" w:rsidR="008B73A9" w:rsidRPr="00480866" w:rsidRDefault="008B73A9" w:rsidP="00480866">
      <w:pPr>
        <w:jc w:val="left"/>
      </w:pPr>
      <w:r w:rsidRPr="00480866">
        <w:t xml:space="preserve">In 2018, there was also a significant increase in </w:t>
      </w:r>
      <w:r w:rsidR="004862A0" w:rsidRPr="00480866">
        <w:t>the following costs: participation in meetings/conferences, travel expenses, subsidies granted by the Solidarity Fund, of which we shall speak below. We aim to interest all our members in our activities, especially those from less advanced countries.</w:t>
      </w:r>
    </w:p>
    <w:p w14:paraId="3C26E7A7" w14:textId="272CC202" w:rsidR="002D44E7" w:rsidRDefault="004862A0" w:rsidP="00480866">
      <w:pPr>
        <w:jc w:val="left"/>
      </w:pPr>
      <w:r w:rsidRPr="00480866">
        <w:t xml:space="preserve">Throughout this period, we have been very careful to keep our outgoings within the limits fixed by the annual Budget Estimates. Accordingly, </w:t>
      </w:r>
      <w:r w:rsidR="002D44E7" w:rsidRPr="00480866">
        <w:t>since</w:t>
      </w:r>
      <w:r w:rsidRPr="00480866">
        <w:t xml:space="preserve"> January 2016 we </w:t>
      </w:r>
      <w:r w:rsidR="002D44E7" w:rsidRPr="00480866">
        <w:t>have ended the support contract in the search for sponsors, since we did not consider the report given satisfactory. No severance pay has been claimed from us. The 'exceptional expenses' have only rarely been accepted; the</w:t>
      </w:r>
      <w:r w:rsidR="002D3196" w:rsidRPr="00480866">
        <w:t>y concerned the mainten</w:t>
      </w:r>
      <w:r w:rsidR="002D44E7" w:rsidRPr="00480866">
        <w:t>ance of our twitter account for a short period, help given to the World Blind Union to prepare the Marrakesh</w:t>
      </w:r>
      <w:r w:rsidR="002D3196" w:rsidRPr="00480866">
        <w:t xml:space="preserve"> Treaty</w:t>
      </w:r>
      <w:r w:rsidR="002D44E7" w:rsidRPr="00480866">
        <w:t xml:space="preserve">, and finally a study on the </w:t>
      </w:r>
      <w:r w:rsidR="002D3196" w:rsidRPr="00480866">
        <w:t>possible</w:t>
      </w:r>
      <w:r w:rsidR="002D44E7" w:rsidRPr="00480866">
        <w:t xml:space="preserve"> transfer of our office from Paris to Brussels</w:t>
      </w:r>
      <w:r w:rsidR="002D3196" w:rsidRPr="00480866">
        <w:t>,</w:t>
      </w:r>
      <w:r w:rsidR="002D44E7" w:rsidRPr="00480866">
        <w:t xml:space="preserve"> on which the various reports will be available to the next Board.</w:t>
      </w:r>
    </w:p>
    <w:p w14:paraId="44BC40E9" w14:textId="77777777" w:rsidR="000D6452" w:rsidRPr="00480866" w:rsidRDefault="000D6452" w:rsidP="00480866">
      <w:pPr>
        <w:jc w:val="left"/>
      </w:pPr>
    </w:p>
    <w:p w14:paraId="510AF18F" w14:textId="05F479A4" w:rsidR="002D44E7" w:rsidRPr="00480866" w:rsidRDefault="002D44E7" w:rsidP="000D6452">
      <w:pPr>
        <w:pStyle w:val="Titre2"/>
      </w:pPr>
      <w:bookmarkStart w:id="3" w:name="_Toc20920771"/>
      <w:r w:rsidRPr="00480866">
        <w:t>3.</w:t>
      </w:r>
      <w:r w:rsidR="00370BC3" w:rsidRPr="00480866">
        <w:t xml:space="preserve"> RESULTS </w:t>
      </w:r>
      <w:r w:rsidR="002D3196" w:rsidRPr="00480866">
        <w:t>REMAIN IN SURPLUS</w:t>
      </w:r>
      <w:bookmarkEnd w:id="3"/>
    </w:p>
    <w:p w14:paraId="62572E41" w14:textId="40A77745" w:rsidR="00005058" w:rsidRPr="00480866" w:rsidRDefault="00370BC3" w:rsidP="00480866">
      <w:pPr>
        <w:jc w:val="left"/>
      </w:pPr>
      <w:r w:rsidRPr="00480866">
        <w:t xml:space="preserve">In each of </w:t>
      </w:r>
      <w:r w:rsidR="00D80EAB" w:rsidRPr="00480866">
        <w:t>the</w:t>
      </w:r>
      <w:r w:rsidRPr="00480866">
        <w:t xml:space="preserve"> four fiscal years for which we have provided accounts there has been a surplus, more or less significant depending on the year under consideration. For </w:t>
      </w:r>
      <w:r w:rsidR="00D80EAB" w:rsidRPr="00480866">
        <w:t>the</w:t>
      </w:r>
      <w:r w:rsidRPr="00480866">
        <w:t xml:space="preserve"> whole period there </w:t>
      </w:r>
      <w:r w:rsidR="002D3196" w:rsidRPr="00480866">
        <w:t>has thus been a surplus of</w:t>
      </w:r>
      <w:r w:rsidRPr="00480866">
        <w:t xml:space="preserve"> €148,691</w:t>
      </w:r>
      <w:r w:rsidR="002D3196" w:rsidRPr="00480866">
        <w:t>,</w:t>
      </w:r>
      <w:r w:rsidRPr="00480866">
        <w:t xml:space="preserve"> which we have been able to distribute as follows: </w:t>
      </w:r>
      <w:r w:rsidR="00005058" w:rsidRPr="00480866">
        <w:t>€45,000 to the Solidarity Fund, €10,000 to the AFUB Fund, €15,000 for forward provision for our General Assembly, and the remaining €78,691 to our reserves.</w:t>
      </w:r>
    </w:p>
    <w:p w14:paraId="65FD9CEB" w14:textId="1D7DA986" w:rsidR="00B977CC" w:rsidRPr="00480866" w:rsidRDefault="002D3196" w:rsidP="00480866">
      <w:pPr>
        <w:jc w:val="left"/>
      </w:pPr>
      <w:r w:rsidRPr="00480866">
        <w:t>The total of our assets against liabilities</w:t>
      </w:r>
      <w:r w:rsidR="00005058" w:rsidRPr="00480866">
        <w:t xml:space="preserve"> b</w:t>
      </w:r>
      <w:r w:rsidRPr="00480866">
        <w:t>a</w:t>
      </w:r>
      <w:r w:rsidR="00005058" w:rsidRPr="00480866">
        <w:t>lance sheet</w:t>
      </w:r>
      <w:r w:rsidR="00370BC3" w:rsidRPr="00480866">
        <w:t xml:space="preserve"> </w:t>
      </w:r>
      <w:r w:rsidR="00B977CC" w:rsidRPr="00480866">
        <w:t xml:space="preserve">is therefore constantly increasing and our bank balance has increased by 20% since 2014, with cover for rather over one year's operation, which is more than </w:t>
      </w:r>
      <w:r w:rsidR="000D6452" w:rsidRPr="00480866">
        <w:t>satisfying</w:t>
      </w:r>
      <w:r w:rsidR="00B977CC" w:rsidRPr="00480866">
        <w:t>.</w:t>
      </w:r>
    </w:p>
    <w:p w14:paraId="5C3CB584" w14:textId="77777777" w:rsidR="002D3196" w:rsidRPr="00480866" w:rsidRDefault="002D3196" w:rsidP="00480866">
      <w:pPr>
        <w:jc w:val="left"/>
      </w:pPr>
    </w:p>
    <w:p w14:paraId="65D61093" w14:textId="1880D85A" w:rsidR="00B977CC" w:rsidRPr="00480866" w:rsidRDefault="002D3196" w:rsidP="000D6452">
      <w:pPr>
        <w:pStyle w:val="Titre1"/>
      </w:pPr>
      <w:bookmarkStart w:id="4" w:name="_Toc20920772"/>
      <w:r w:rsidRPr="00480866">
        <w:t xml:space="preserve">II </w:t>
      </w:r>
      <w:r w:rsidR="00B977CC" w:rsidRPr="00480866">
        <w:t xml:space="preserve">TRANSPARENT </w:t>
      </w:r>
      <w:r w:rsidRPr="00480866">
        <w:t>FUNDING</w:t>
      </w:r>
      <w:bookmarkEnd w:id="4"/>
    </w:p>
    <w:p w14:paraId="5DB1ADB0" w14:textId="41A15379" w:rsidR="00D65BBB" w:rsidRPr="00480866" w:rsidRDefault="00B977CC" w:rsidP="00480866">
      <w:pPr>
        <w:jc w:val="left"/>
      </w:pPr>
      <w:r w:rsidRPr="00480866">
        <w:t xml:space="preserve">Since the General Assembly of 2015, certain members have referred to </w:t>
      </w:r>
      <w:r w:rsidR="00D65BBB" w:rsidRPr="00480866">
        <w:t>a</w:t>
      </w:r>
      <w:r w:rsidRPr="00480866">
        <w:t xml:space="preserve"> lack of transparency</w:t>
      </w:r>
      <w:r w:rsidR="00D65BBB" w:rsidRPr="00480866">
        <w:t xml:space="preserve"> as regards the EBU's funds</w:t>
      </w:r>
      <w:r w:rsidRPr="00480866">
        <w:t>. Knowing the rigour and integrity of my predecessor</w:t>
      </w:r>
      <w:r w:rsidR="002D3196" w:rsidRPr="00480866">
        <w:t xml:space="preserve"> this is certainly not the case;</w:t>
      </w:r>
      <w:r w:rsidRPr="00480866">
        <w:t xml:space="preserve"> at most </w:t>
      </w:r>
      <w:r w:rsidR="00BD123D" w:rsidRPr="00480866">
        <w:t>there should have been regular better information given to our associates. This is what we have been doing since October 2016 in publishing on the 15th of every month a very detailed document which present</w:t>
      </w:r>
      <w:r w:rsidR="00D65BBB" w:rsidRPr="00480866">
        <w:t>s</w:t>
      </w:r>
      <w:r w:rsidR="00BD123D" w:rsidRPr="00480866">
        <w:t xml:space="preserve">, explaining them if necessary, all the receipts, outgoings, and balances of our different bank accounts. This document is addressed to each of the members of </w:t>
      </w:r>
      <w:r w:rsidR="00426F49">
        <w:t>the Board</w:t>
      </w:r>
      <w:r w:rsidR="00753425" w:rsidRPr="00480866">
        <w:t>,</w:t>
      </w:r>
      <w:r w:rsidR="00BD123D" w:rsidRPr="00480866">
        <w:t xml:space="preserve"> who thereby have all the means to follow </w:t>
      </w:r>
      <w:r w:rsidR="00D65BBB" w:rsidRPr="00480866">
        <w:t>our funds</w:t>
      </w:r>
      <w:r w:rsidR="00BD123D" w:rsidRPr="00480866">
        <w:t>.</w:t>
      </w:r>
      <w:r w:rsidRPr="00480866">
        <w:t xml:space="preserve"> </w:t>
      </w:r>
      <w:r w:rsidR="00D65BBB" w:rsidRPr="00480866">
        <w:t xml:space="preserve">Its preparation is carried out by our staff accountant with the assistance of our Paris office; I would like to thank them warmly for the valuable work they are doing and for all their scrupulous care </w:t>
      </w:r>
      <w:r w:rsidR="00753425" w:rsidRPr="00480866">
        <w:t>in meeting</w:t>
      </w:r>
      <w:r w:rsidR="00D65BBB" w:rsidRPr="00480866">
        <w:t xml:space="preserve"> the agreed deadlines.</w:t>
      </w:r>
    </w:p>
    <w:p w14:paraId="1C0BA31B" w14:textId="77777777" w:rsidR="00D65BBB" w:rsidRPr="00480866" w:rsidRDefault="00D65BBB" w:rsidP="00480866">
      <w:pPr>
        <w:jc w:val="left"/>
      </w:pPr>
    </w:p>
    <w:p w14:paraId="25CD6285" w14:textId="77777777" w:rsidR="00D65BBB" w:rsidRPr="00480866" w:rsidRDefault="00D65BBB" w:rsidP="000D6452">
      <w:pPr>
        <w:pStyle w:val="Titre1"/>
      </w:pPr>
      <w:bookmarkStart w:id="5" w:name="_Toc20920773"/>
      <w:r w:rsidRPr="00480866">
        <w:lastRenderedPageBreak/>
        <w:t>III A FUND ABLE TO SUPPORT OUR MEMBERS IN TIME OF NEED</w:t>
      </w:r>
      <w:bookmarkEnd w:id="5"/>
    </w:p>
    <w:p w14:paraId="375BA940" w14:textId="656B582B" w:rsidR="00370BC3" w:rsidRPr="00480866" w:rsidRDefault="00C10E56" w:rsidP="00480866">
      <w:pPr>
        <w:jc w:val="left"/>
      </w:pPr>
      <w:r w:rsidRPr="00480866">
        <w:t>Undoub</w:t>
      </w:r>
      <w:r w:rsidR="00D65BBB" w:rsidRPr="00480866">
        <w:t xml:space="preserve">tedly </w:t>
      </w:r>
      <w:r w:rsidR="00D80EAB" w:rsidRPr="00480866">
        <w:t>the</w:t>
      </w:r>
      <w:r w:rsidR="00753425" w:rsidRPr="00480866">
        <w:t xml:space="preserve"> most important deci</w:t>
      </w:r>
      <w:r w:rsidR="00D65BBB" w:rsidRPr="00480866">
        <w:t xml:space="preserve">sion made in this term of office was at the end of 2016 when the possibility </w:t>
      </w:r>
      <w:r w:rsidR="00753425" w:rsidRPr="00480866">
        <w:t>of benefi</w:t>
      </w:r>
      <w:r w:rsidR="004715CC" w:rsidRPr="00480866">
        <w:t>ting from a support fund initially dedicated only to developing countries was opened to all our members. This new 'Solidarity Fund' can therefore be called upon by all organisation members wishing to set up or participate in a project, organise a meeting/conference, or simply need</w:t>
      </w:r>
      <w:r w:rsidR="00753425" w:rsidRPr="00480866">
        <w:t>ing</w:t>
      </w:r>
      <w:r w:rsidR="004715CC" w:rsidRPr="00480866">
        <w:t xml:space="preserve"> </w:t>
      </w:r>
      <w:r w:rsidR="002242C1" w:rsidRPr="00480866">
        <w:t>exceptional</w:t>
      </w:r>
      <w:r w:rsidR="004715CC" w:rsidRPr="00480866">
        <w:t xml:space="preserve"> help to pay a part of their contribution. The amount of support given in each case, which cannot exceed 80% of </w:t>
      </w:r>
      <w:r w:rsidR="00D80EAB" w:rsidRPr="00480866">
        <w:t>the</w:t>
      </w:r>
      <w:r w:rsidR="004715CC" w:rsidRPr="00480866">
        <w:t xml:space="preserve"> cost, is limited to €10,000.</w:t>
      </w:r>
      <w:r w:rsidR="00D65BBB" w:rsidRPr="00480866">
        <w:t xml:space="preserve"> </w:t>
      </w:r>
      <w:r w:rsidR="006A4E5E" w:rsidRPr="00480866">
        <w:t xml:space="preserve">The regulations and detailed documents </w:t>
      </w:r>
      <w:r w:rsidR="002242C1" w:rsidRPr="00480866">
        <w:t xml:space="preserve">with reference to this Fund </w:t>
      </w:r>
      <w:r w:rsidR="006A4E5E" w:rsidRPr="00480866">
        <w:t xml:space="preserve">are available </w:t>
      </w:r>
      <w:r w:rsidR="002242C1" w:rsidRPr="00480866">
        <w:t>from our Pa</w:t>
      </w:r>
      <w:r w:rsidR="006A4E5E" w:rsidRPr="00480866">
        <w:t>ris office</w:t>
      </w:r>
      <w:r w:rsidR="002242C1" w:rsidRPr="00480866">
        <w:t xml:space="preserve"> for everyone</w:t>
      </w:r>
      <w:r w:rsidR="006A4E5E" w:rsidRPr="00480866">
        <w:t xml:space="preserve">. </w:t>
      </w:r>
      <w:r w:rsidR="00753425" w:rsidRPr="00480866">
        <w:t xml:space="preserve">From </w:t>
      </w:r>
      <w:r w:rsidR="002242C1" w:rsidRPr="00480866">
        <w:t xml:space="preserve">its creation </w:t>
      </w:r>
      <w:r w:rsidR="00753425" w:rsidRPr="00480866">
        <w:t>to</w:t>
      </w:r>
      <w:r w:rsidR="002242C1" w:rsidRPr="00480866">
        <w:t xml:space="preserve"> the present, the Solidarity Fund has supported the following projects:</w:t>
      </w:r>
      <w:r w:rsidR="00D65BBB" w:rsidRPr="00480866">
        <w:t xml:space="preserve"> </w:t>
      </w:r>
    </w:p>
    <w:p w14:paraId="15E02C8E" w14:textId="0A3F121E" w:rsidR="002242C1" w:rsidRPr="00480866" w:rsidRDefault="002242C1" w:rsidP="00480866">
      <w:pPr>
        <w:jc w:val="left"/>
      </w:pPr>
      <w:r w:rsidRPr="00480866">
        <w:t xml:space="preserve">1.   ALBANIA – 2017 – Education of Albanian Blind Voters for their participation in Elections – </w:t>
      </w:r>
      <w:r w:rsidR="00753425" w:rsidRPr="00480866">
        <w:t>€</w:t>
      </w:r>
      <w:r w:rsidRPr="00480866">
        <w:t>10</w:t>
      </w:r>
      <w:r w:rsidR="00753425" w:rsidRPr="00480866">
        <w:t>,000</w:t>
      </w:r>
      <w:r w:rsidRPr="00480866">
        <w:t xml:space="preserve"> </w:t>
      </w:r>
    </w:p>
    <w:p w14:paraId="5419F33D" w14:textId="6E29477A" w:rsidR="002242C1" w:rsidRPr="00480866" w:rsidRDefault="002242C1" w:rsidP="00480866">
      <w:pPr>
        <w:jc w:val="left"/>
      </w:pPr>
      <w:r w:rsidRPr="00480866">
        <w:t xml:space="preserve">2.   DENMARK – 2017 – Braille conference – </w:t>
      </w:r>
      <w:r w:rsidR="00753425" w:rsidRPr="00480866">
        <w:t>€4000</w:t>
      </w:r>
    </w:p>
    <w:p w14:paraId="02955916" w14:textId="0AFC1A13" w:rsidR="002242C1" w:rsidRPr="00480866" w:rsidRDefault="002242C1" w:rsidP="00480866">
      <w:pPr>
        <w:jc w:val="left"/>
      </w:pPr>
      <w:r w:rsidRPr="00480866">
        <w:t xml:space="preserve">3.   MACEDONIA – 2018 – Challenges, needs and condition of the physiotherapist's profession in people with impaired vision in Western Balkan countries – </w:t>
      </w:r>
      <w:r w:rsidR="00753425" w:rsidRPr="00480866">
        <w:t>€9600</w:t>
      </w:r>
    </w:p>
    <w:p w14:paraId="36874003" w14:textId="55F076A1" w:rsidR="002242C1" w:rsidRPr="00480866" w:rsidRDefault="002242C1" w:rsidP="00480866">
      <w:pPr>
        <w:jc w:val="left"/>
      </w:pPr>
      <w:r w:rsidRPr="00480866">
        <w:t xml:space="preserve">4.   MONTENEGRO – 2018 – Easier way to ratification of Marrakesh Treaty in the Western Balkans countries – </w:t>
      </w:r>
      <w:r w:rsidR="00753425" w:rsidRPr="00480866">
        <w:t>€9910</w:t>
      </w:r>
    </w:p>
    <w:p w14:paraId="7DAF9492" w14:textId="1CDF2AC3" w:rsidR="002242C1" w:rsidRPr="00480866" w:rsidRDefault="002242C1" w:rsidP="00480866">
      <w:pPr>
        <w:jc w:val="left"/>
      </w:pPr>
      <w:r w:rsidRPr="00480866">
        <w:t xml:space="preserve">5.   ALBANIA – Copyright and Related Rights:  Beijing and Marrakesh Treaties - Sub Regional Meeting – </w:t>
      </w:r>
      <w:r w:rsidR="00753425" w:rsidRPr="00480866">
        <w:t>€1930</w:t>
      </w:r>
    </w:p>
    <w:p w14:paraId="53E3A1F2" w14:textId="7B2D4256" w:rsidR="002242C1" w:rsidRPr="00480866" w:rsidRDefault="002242C1" w:rsidP="00480866">
      <w:pPr>
        <w:jc w:val="left"/>
      </w:pPr>
      <w:r w:rsidRPr="00480866">
        <w:t xml:space="preserve">6.   MONTENEGRO – 2018 – Participation in good practice jury meeting – </w:t>
      </w:r>
      <w:r w:rsidR="00753425" w:rsidRPr="00480866">
        <w:t>€</w:t>
      </w:r>
      <w:r w:rsidRPr="00480866">
        <w:t>1</w:t>
      </w:r>
      <w:r w:rsidR="00753425" w:rsidRPr="00480866">
        <w:t>200</w:t>
      </w:r>
    </w:p>
    <w:p w14:paraId="5EC892F6" w14:textId="53E0B1CF" w:rsidR="002242C1" w:rsidRPr="00480866" w:rsidRDefault="002242C1" w:rsidP="00480866">
      <w:pPr>
        <w:jc w:val="left"/>
      </w:pPr>
      <w:r w:rsidRPr="00480866">
        <w:t xml:space="preserve">7.   MONTENEGRO – 2018 – ADVISE – </w:t>
      </w:r>
      <w:r w:rsidR="00753425" w:rsidRPr="00480866">
        <w:t>€2400</w:t>
      </w:r>
    </w:p>
    <w:p w14:paraId="148BCE5C" w14:textId="6E122298" w:rsidR="002242C1" w:rsidRPr="00480866" w:rsidRDefault="002242C1" w:rsidP="00480866">
      <w:pPr>
        <w:jc w:val="left"/>
      </w:pPr>
      <w:r w:rsidRPr="00480866">
        <w:t xml:space="preserve">8.   ALBANIA – 2019 – Participation in CRPD Committee meeting – </w:t>
      </w:r>
      <w:r w:rsidR="00753425" w:rsidRPr="00480866">
        <w:t>€</w:t>
      </w:r>
      <w:r w:rsidRPr="00480866">
        <w:t xml:space="preserve">1250 </w:t>
      </w:r>
    </w:p>
    <w:p w14:paraId="04FFFD45" w14:textId="50E9B5B1" w:rsidR="004862A0" w:rsidRPr="00480866" w:rsidRDefault="002242C1" w:rsidP="00480866">
      <w:pPr>
        <w:jc w:val="left"/>
      </w:pPr>
      <w:r w:rsidRPr="00480866">
        <w:lastRenderedPageBreak/>
        <w:t xml:space="preserve">I would like now to draw your attention to the difficulties we meet in administering the aid fund in African countries: the Commission of Development </w:t>
      </w:r>
      <w:r w:rsidR="00753425" w:rsidRPr="00480866">
        <w:t>s</w:t>
      </w:r>
      <w:r w:rsidRPr="00480866">
        <w:t xml:space="preserve">et up in preceding terms of office has not functioned for four years. It is therefore urgent to re-establish this Commission and to review the working regulations of the Fund so that, as it did in the past, it can once again develop concrete actions to help our friends on </w:t>
      </w:r>
      <w:r w:rsidR="00D80EAB" w:rsidRPr="00480866">
        <w:t>the</w:t>
      </w:r>
      <w:r w:rsidRPr="00480866">
        <w:t xml:space="preserve"> other side of </w:t>
      </w:r>
      <w:r w:rsidR="00D80EAB" w:rsidRPr="00480866">
        <w:t>the</w:t>
      </w:r>
      <w:r w:rsidRPr="00480866">
        <w:t xml:space="preserve"> Mediterranean. If you are interested, please be sure to make yourselves known to me.</w:t>
      </w:r>
    </w:p>
    <w:p w14:paraId="4B3E2ED2" w14:textId="77777777" w:rsidR="002242C1" w:rsidRPr="00480866" w:rsidRDefault="002242C1" w:rsidP="00480866">
      <w:pPr>
        <w:jc w:val="left"/>
      </w:pPr>
    </w:p>
    <w:p w14:paraId="2B9702F6" w14:textId="5B595495" w:rsidR="002242C1" w:rsidRPr="00480866" w:rsidRDefault="002242C1" w:rsidP="000D6452">
      <w:pPr>
        <w:pStyle w:val="Titre1"/>
      </w:pPr>
      <w:bookmarkStart w:id="6" w:name="_Toc20920774"/>
      <w:r w:rsidRPr="00480866">
        <w:t>IV DELIBERATIONS OF THE GENERAL ASSSEMBLY</w:t>
      </w:r>
      <w:bookmarkEnd w:id="6"/>
    </w:p>
    <w:p w14:paraId="0D0EC155" w14:textId="168BC7A6" w:rsidR="002242C1" w:rsidRPr="00480866" w:rsidRDefault="002242C1" w:rsidP="000D6452">
      <w:pPr>
        <w:pStyle w:val="Titre2"/>
      </w:pPr>
      <w:bookmarkStart w:id="7" w:name="_Toc20920775"/>
      <w:r w:rsidRPr="00480866">
        <w:t>1. CONFIRMATION OF THE DECISION TO EXCLUDE AZERBAIJAN AND GEORGIA</w:t>
      </w:r>
      <w:bookmarkEnd w:id="7"/>
    </w:p>
    <w:p w14:paraId="0B76EBAC" w14:textId="421E4857" w:rsidR="002242C1" w:rsidRPr="00480866" w:rsidRDefault="002242C1" w:rsidP="00480866">
      <w:pPr>
        <w:jc w:val="left"/>
      </w:pPr>
      <w:r w:rsidRPr="00480866">
        <w:t>The General Assembly, after listening to the explanations given by the Treasurer:</w:t>
      </w:r>
    </w:p>
    <w:p w14:paraId="5A9931F4" w14:textId="4946897D" w:rsidR="002242C1" w:rsidRPr="00480866" w:rsidRDefault="002242C1" w:rsidP="00480866">
      <w:pPr>
        <w:jc w:val="left"/>
      </w:pPr>
      <w:r w:rsidRPr="00480866">
        <w:t>Considering that the first responsibility of all members of an organisation is to pay an ann</w:t>
      </w:r>
      <w:r w:rsidR="00753425" w:rsidRPr="00480866">
        <w:t>ual contribution to maintain that member's</w:t>
      </w:r>
      <w:r w:rsidRPr="00480866">
        <w:t xml:space="preserve"> interest </w:t>
      </w:r>
      <w:r w:rsidR="00753425" w:rsidRPr="00480866">
        <w:t>in the organisation</w:t>
      </w:r>
      <w:r w:rsidRPr="00480866">
        <w:t>,</w:t>
      </w:r>
    </w:p>
    <w:p w14:paraId="1831E56D" w14:textId="59C69767" w:rsidR="002242C1" w:rsidRPr="00480866" w:rsidRDefault="002242C1" w:rsidP="00480866">
      <w:pPr>
        <w:jc w:val="left"/>
      </w:pPr>
      <w:r w:rsidRPr="00480866">
        <w:t>Considering that despite the efforts made by the European Blind Union to recall Azerbaijan and Georgia to their aforesaid responsibility, these two countries have not paid their contribution since 2008 and 2010 respectively,</w:t>
      </w:r>
    </w:p>
    <w:p w14:paraId="7818F338" w14:textId="650C3035" w:rsidR="002242C1" w:rsidRPr="00480866" w:rsidRDefault="002242C1" w:rsidP="00480866">
      <w:pPr>
        <w:jc w:val="left"/>
      </w:pPr>
      <w:r w:rsidRPr="00480866">
        <w:t xml:space="preserve">Considering that the General Assembly and </w:t>
      </w:r>
      <w:r w:rsidR="00A60D73">
        <w:t>Board</w:t>
      </w:r>
      <w:r w:rsidR="00A60D73" w:rsidRPr="00480866">
        <w:t xml:space="preserve"> </w:t>
      </w:r>
      <w:r w:rsidRPr="00480866">
        <w:t>of the European Blind Union has the absolute responsibility to apply and make applicable the Constitution of the Union,</w:t>
      </w:r>
    </w:p>
    <w:p w14:paraId="530486D2" w14:textId="1FA246A2" w:rsidR="002242C1" w:rsidRPr="00480866" w:rsidRDefault="002242C1" w:rsidP="00480866">
      <w:pPr>
        <w:jc w:val="left"/>
      </w:pPr>
      <w:r w:rsidRPr="00480866">
        <w:t xml:space="preserve">Confirms the decision taken by the </w:t>
      </w:r>
      <w:r w:rsidR="00A60D73">
        <w:t>Board</w:t>
      </w:r>
      <w:r w:rsidR="00A60D73" w:rsidRPr="00480866">
        <w:t xml:space="preserve"> </w:t>
      </w:r>
      <w:r w:rsidRPr="00480866">
        <w:t>at its meeting in Rome on the 4th and 5th of February 2</w:t>
      </w:r>
      <w:r w:rsidR="00753425" w:rsidRPr="00480866">
        <w:t>0</w:t>
      </w:r>
      <w:r w:rsidRPr="00480866">
        <w:t>17 to exclude the memb</w:t>
      </w:r>
      <w:r w:rsidR="00753425" w:rsidRPr="00480866">
        <w:t>ers Azerbai</w:t>
      </w:r>
      <w:r w:rsidRPr="00480866">
        <w:t>jan and Georgia for non-payment of their contribution over a long period.</w:t>
      </w:r>
    </w:p>
    <w:p w14:paraId="1022E906" w14:textId="3293BBEC" w:rsidR="002242C1" w:rsidRPr="00480866" w:rsidRDefault="002242C1" w:rsidP="00480866">
      <w:pPr>
        <w:jc w:val="left"/>
      </w:pPr>
      <w:bookmarkStart w:id="8" w:name="_GoBack"/>
      <w:bookmarkEnd w:id="8"/>
      <w:r w:rsidRPr="00480866">
        <w:lastRenderedPageBreak/>
        <w:t>This decision can be reviewed if one or other of these</w:t>
      </w:r>
      <w:r w:rsidR="00753425" w:rsidRPr="00480866">
        <w:t xml:space="preserve"> </w:t>
      </w:r>
      <w:r w:rsidRPr="00480866">
        <w:t>members indicate</w:t>
      </w:r>
      <w:r w:rsidR="00753425" w:rsidRPr="00480866">
        <w:t>s</w:t>
      </w:r>
      <w:r w:rsidRPr="00480866">
        <w:t xml:space="preserve"> their intention to return to the European Blind Union and to respect the regulations</w:t>
      </w:r>
      <w:r w:rsidR="00E23635" w:rsidRPr="00480866">
        <w:t>, above all</w:t>
      </w:r>
      <w:r w:rsidRPr="00480866">
        <w:t xml:space="preserve"> by paying the contribution</w:t>
      </w:r>
      <w:r w:rsidR="00E23635" w:rsidRPr="00480866">
        <w:t>.</w:t>
      </w:r>
    </w:p>
    <w:p w14:paraId="02A04A15" w14:textId="77777777" w:rsidR="00753425" w:rsidRPr="00480866" w:rsidRDefault="00753425" w:rsidP="00480866">
      <w:pPr>
        <w:jc w:val="left"/>
      </w:pPr>
    </w:p>
    <w:p w14:paraId="5DADBAF1" w14:textId="6490A2FC" w:rsidR="00E23635" w:rsidRPr="00480866" w:rsidRDefault="00753425" w:rsidP="000D6452">
      <w:pPr>
        <w:pStyle w:val="Titre2"/>
      </w:pPr>
      <w:bookmarkStart w:id="9" w:name="_Toc20920776"/>
      <w:r w:rsidRPr="00480866">
        <w:t>2. LEVEL</w:t>
      </w:r>
      <w:r w:rsidR="00E23635" w:rsidRPr="00480866">
        <w:t xml:space="preserve"> OF CONTRIBUTION</w:t>
      </w:r>
      <w:bookmarkEnd w:id="9"/>
    </w:p>
    <w:p w14:paraId="734874AB" w14:textId="2F7C857A" w:rsidR="00533F61" w:rsidRPr="00480866" w:rsidRDefault="00E23635" w:rsidP="00480866">
      <w:pPr>
        <w:jc w:val="left"/>
      </w:pPr>
      <w:r w:rsidRPr="00480866">
        <w:t xml:space="preserve">The General </w:t>
      </w:r>
      <w:proofErr w:type="spellStart"/>
      <w:r w:rsidRPr="00480866">
        <w:t>Asssembly</w:t>
      </w:r>
      <w:proofErr w:type="spellEnd"/>
      <w:r w:rsidRPr="00480866">
        <w:t xml:space="preserve"> accepts the principle of maintaining the contributions </w:t>
      </w:r>
      <w:r w:rsidR="00753425" w:rsidRPr="00480866">
        <w:t>at</w:t>
      </w:r>
      <w:r w:rsidRPr="00480866">
        <w:t xml:space="preserve"> the present level</w:t>
      </w:r>
      <w:r w:rsidR="00753425" w:rsidRPr="00480866">
        <w:t>s</w:t>
      </w:r>
      <w:r w:rsidRPr="00480866">
        <w:t xml:space="preserve"> with the </w:t>
      </w:r>
      <w:r w:rsidR="00753425" w:rsidRPr="00480866">
        <w:t>understanding</w:t>
      </w:r>
      <w:r w:rsidRPr="00480866">
        <w:t xml:space="preserve"> that members which request reductions </w:t>
      </w:r>
      <w:r w:rsidR="00753425" w:rsidRPr="00480866">
        <w:t xml:space="preserve">shall </w:t>
      </w:r>
      <w:r w:rsidRPr="00480866">
        <w:t xml:space="preserve">provide in a timely manner the documents which will allow the </w:t>
      </w:r>
      <w:r w:rsidR="00A60D73">
        <w:t>Board</w:t>
      </w:r>
      <w:r w:rsidR="00A60D73" w:rsidRPr="00480866">
        <w:t xml:space="preserve"> </w:t>
      </w:r>
      <w:r w:rsidRPr="00480866">
        <w:t>to make a decision with full understanding of the cause</w:t>
      </w:r>
      <w:r w:rsidR="00753425" w:rsidRPr="00480866">
        <w:t xml:space="preserve"> for the request</w:t>
      </w:r>
      <w:r w:rsidRPr="00480866">
        <w:t xml:space="preserve">. The reductions are valid for a period of two years; possible </w:t>
      </w:r>
      <w:r w:rsidR="00533F61" w:rsidRPr="00480866">
        <w:t xml:space="preserve">group </w:t>
      </w:r>
      <w:r w:rsidR="00AE55FF" w:rsidRPr="00480866">
        <w:t xml:space="preserve">changes </w:t>
      </w:r>
      <w:r w:rsidR="00533F61" w:rsidRPr="00480866">
        <w:t>apply throughout the period considered.</w:t>
      </w:r>
    </w:p>
    <w:p w14:paraId="4AE22D79" w14:textId="77777777" w:rsidR="00753425" w:rsidRPr="00480866" w:rsidRDefault="00753425" w:rsidP="00480866">
      <w:pPr>
        <w:jc w:val="left"/>
      </w:pPr>
    </w:p>
    <w:p w14:paraId="2666315A" w14:textId="77777777" w:rsidR="00533F61" w:rsidRPr="00480866" w:rsidRDefault="00533F61" w:rsidP="000D6452">
      <w:pPr>
        <w:pStyle w:val="Titre2"/>
      </w:pPr>
      <w:bookmarkStart w:id="10" w:name="_Toc20920777"/>
      <w:r w:rsidRPr="00480866">
        <w:t>3. EXTERNAL AUDIT</w:t>
      </w:r>
      <w:bookmarkEnd w:id="10"/>
    </w:p>
    <w:p w14:paraId="3A93DB0D" w14:textId="77777777" w:rsidR="00533F61" w:rsidRPr="00480866" w:rsidRDefault="00533F61" w:rsidP="00480866">
      <w:pPr>
        <w:jc w:val="left"/>
      </w:pPr>
      <w:r w:rsidRPr="00480866">
        <w:t xml:space="preserve">The General Assembly entrusts the task of audit for the European Blind Union for the period 2019–2023 to la </w:t>
      </w:r>
      <w:proofErr w:type="spellStart"/>
      <w:r w:rsidRPr="00480866">
        <w:t>Société</w:t>
      </w:r>
      <w:proofErr w:type="spellEnd"/>
      <w:r w:rsidRPr="00480866">
        <w:t xml:space="preserve"> COGEP, 96-98 avenue Raymond POINCARE CS 31749 75771 Paris CEDEX XVI.</w:t>
      </w:r>
    </w:p>
    <w:p w14:paraId="2B0C91F4" w14:textId="77777777" w:rsidR="00533F61" w:rsidRPr="00480866" w:rsidRDefault="00533F61" w:rsidP="00480866">
      <w:pPr>
        <w:jc w:val="left"/>
      </w:pPr>
    </w:p>
    <w:p w14:paraId="19D7D6B6" w14:textId="77777777" w:rsidR="00533F61" w:rsidRPr="00480866" w:rsidRDefault="00533F61" w:rsidP="000D6452">
      <w:pPr>
        <w:pStyle w:val="Titre1"/>
      </w:pPr>
      <w:bookmarkStart w:id="11" w:name="_Toc20920778"/>
      <w:r w:rsidRPr="00480866">
        <w:t>CONCLUSION</w:t>
      </w:r>
      <w:bookmarkEnd w:id="11"/>
    </w:p>
    <w:p w14:paraId="014D2512" w14:textId="57195DE1" w:rsidR="00D80EAB" w:rsidRPr="00480866" w:rsidRDefault="0063711D" w:rsidP="00480866">
      <w:pPr>
        <w:jc w:val="left"/>
      </w:pPr>
      <w:r w:rsidRPr="00480866">
        <w:t xml:space="preserve">To conclude, I would like to thank once again the staff of the Paris office and of the French Blind Federation for enabling me to carry out my work as Treasurer during this period; I should also say that the Federation provided me with </w:t>
      </w:r>
      <w:r w:rsidR="00D80EAB" w:rsidRPr="00480866">
        <w:t>the</w:t>
      </w:r>
      <w:r w:rsidRPr="00480866">
        <w:t xml:space="preserve"> necessary financial support to participate in </w:t>
      </w:r>
      <w:r w:rsidR="00D80EAB" w:rsidRPr="00480866">
        <w:t>the</w:t>
      </w:r>
      <w:r w:rsidRPr="00480866">
        <w:t xml:space="preserve"> work of the </w:t>
      </w:r>
      <w:r w:rsidR="00A60D73">
        <w:t>Board</w:t>
      </w:r>
      <w:r w:rsidR="00A60D73" w:rsidRPr="00480866">
        <w:t xml:space="preserve"> </w:t>
      </w:r>
      <w:r w:rsidRPr="00480866">
        <w:t xml:space="preserve">of the European Blind Union and I am most grateful to them. If you entrust me with this work for the four years to come, I will do my utmost to guard the good financial health of the EBU, for which each member country must feel equally responsible. </w:t>
      </w:r>
      <w:r w:rsidR="00D80EAB" w:rsidRPr="00480866">
        <w:t xml:space="preserve">Whether you are in Group 1, with a contribution of €16,000, or Group 4 with an annual participation of €1000, your contribution is equally important because it </w:t>
      </w:r>
      <w:r w:rsidR="00D80EAB" w:rsidRPr="00480866">
        <w:lastRenderedPageBreak/>
        <w:t xml:space="preserve">indicates </w:t>
      </w:r>
      <w:r w:rsidR="00753425" w:rsidRPr="00480866">
        <w:t xml:space="preserve">primarily </w:t>
      </w:r>
      <w:r w:rsidR="00D80EAB" w:rsidRPr="00480866">
        <w:t>your commitment to our organisation. I am in no doubt that you understand this and for that I am most appreciative.</w:t>
      </w:r>
    </w:p>
    <w:p w14:paraId="4C1CF81A" w14:textId="77777777" w:rsidR="00D80EAB" w:rsidRPr="00480866" w:rsidRDefault="00D80EAB" w:rsidP="00480866">
      <w:pPr>
        <w:jc w:val="left"/>
      </w:pPr>
    </w:p>
    <w:p w14:paraId="0E66DFB8" w14:textId="77777777" w:rsidR="00D80EAB" w:rsidRPr="00480866" w:rsidRDefault="00D80EAB" w:rsidP="00480866">
      <w:pPr>
        <w:jc w:val="left"/>
      </w:pPr>
      <w:r w:rsidRPr="00480866">
        <w:t>Philippe CHAZAL</w:t>
      </w:r>
    </w:p>
    <w:p w14:paraId="13EB92F5" w14:textId="77777777" w:rsidR="00D80EAB" w:rsidRPr="00480866" w:rsidRDefault="00D80EAB" w:rsidP="00480866">
      <w:pPr>
        <w:jc w:val="left"/>
      </w:pPr>
      <w:r w:rsidRPr="00480866">
        <w:t>Treasurer of the European Blind Union</w:t>
      </w:r>
    </w:p>
    <w:p w14:paraId="6E66E4C4" w14:textId="5090ED35" w:rsidR="00E23635" w:rsidRDefault="00D80EAB" w:rsidP="00480866">
      <w:pPr>
        <w:jc w:val="left"/>
      </w:pPr>
      <w:r w:rsidRPr="00480866">
        <w:t>Clermont-Ferrand, 27th September 2019.</w:t>
      </w:r>
      <w:r w:rsidR="00E23635" w:rsidRPr="00480866">
        <w:t xml:space="preserve">  </w:t>
      </w:r>
    </w:p>
    <w:p w14:paraId="195B8496" w14:textId="77777777" w:rsidR="003F5AD3" w:rsidRDefault="003F5AD3" w:rsidP="00480866">
      <w:pPr>
        <w:jc w:val="left"/>
      </w:pPr>
    </w:p>
    <w:p w14:paraId="132F1B11" w14:textId="112E0849" w:rsidR="003F5AD3" w:rsidRPr="00480866" w:rsidRDefault="003F5AD3" w:rsidP="00480866">
      <w:pPr>
        <w:jc w:val="left"/>
      </w:pPr>
      <w:r>
        <w:t>END OF DOCUMENT</w:t>
      </w:r>
    </w:p>
    <w:sectPr w:rsidR="003F5AD3" w:rsidRPr="00480866" w:rsidSect="00480866">
      <w:pgSz w:w="11900" w:h="16840"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42687" w14:textId="77777777" w:rsidR="00057A0E" w:rsidRDefault="00057A0E" w:rsidP="003D05EF">
      <w:pPr>
        <w:spacing w:line="240" w:lineRule="auto"/>
      </w:pPr>
      <w:r>
        <w:separator/>
      </w:r>
    </w:p>
  </w:endnote>
  <w:endnote w:type="continuationSeparator" w:id="0">
    <w:p w14:paraId="2F95358B" w14:textId="77777777" w:rsidR="00057A0E" w:rsidRDefault="00057A0E" w:rsidP="003D05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199F5" w14:textId="77777777" w:rsidR="008A79FA" w:rsidRDefault="008A79F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C05C7" w14:textId="77777777" w:rsidR="008A79FA" w:rsidRDefault="008A79F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65C3" w14:textId="77777777" w:rsidR="008A79FA" w:rsidRDefault="008A79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FDE9A" w14:textId="77777777" w:rsidR="00057A0E" w:rsidRDefault="00057A0E" w:rsidP="003D05EF">
      <w:pPr>
        <w:spacing w:line="240" w:lineRule="auto"/>
      </w:pPr>
      <w:r>
        <w:separator/>
      </w:r>
    </w:p>
  </w:footnote>
  <w:footnote w:type="continuationSeparator" w:id="0">
    <w:p w14:paraId="7DF5008E" w14:textId="77777777" w:rsidR="00057A0E" w:rsidRDefault="00057A0E" w:rsidP="003D05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775C1" w14:textId="77777777" w:rsidR="008A79FA" w:rsidRDefault="008A79F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1D482" w14:textId="77777777" w:rsidR="008A79FA" w:rsidRDefault="008A79F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65215" w14:textId="496DE23E" w:rsidR="00A60D73" w:rsidRDefault="00EE2BA8">
    <w:pPr>
      <w:pStyle w:val="En-tte"/>
    </w:pPr>
    <w:r>
      <w:rPr>
        <w:noProof/>
        <w:lang w:val="fr-FR" w:eastAsia="fr-FR"/>
      </w:rPr>
      <w:drawing>
        <wp:inline distT="0" distB="0" distL="0" distR="0" wp14:anchorId="178D317A" wp14:editId="6141F5D3">
          <wp:extent cx="5714286" cy="1904762"/>
          <wp:effectExtent l="0" t="0" r="1270" b="635"/>
          <wp:docPr id="3" name="Image 3" descr="On the left a pictogram of a group of people with converging arrow, on the right, EBU logo" title="11th EBU General assembl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eau.png"/>
                  <pic:cNvPicPr/>
                </pic:nvPicPr>
                <pic:blipFill>
                  <a:blip r:embed="rId1">
                    <a:extLst>
                      <a:ext uri="{28A0092B-C50C-407E-A947-70E740481C1C}">
                        <a14:useLocalDpi xmlns:a14="http://schemas.microsoft.com/office/drawing/2010/main" val="0"/>
                      </a:ext>
                    </a:extLst>
                  </a:blip>
                  <a:stretch>
                    <a:fillRect/>
                  </a:stretch>
                </pic:blipFill>
                <pic:spPr>
                  <a:xfrm>
                    <a:off x="0" y="0"/>
                    <a:ext cx="5714286" cy="190476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5E6CC1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08F4B8E"/>
    <w:multiLevelType w:val="hybridMultilevel"/>
    <w:tmpl w:val="AD1A63FA"/>
    <w:lvl w:ilvl="0" w:tplc="4B2C6EA4">
      <w:start w:val="1"/>
      <w:numFmt w:val="bullet"/>
      <w:lvlText w:val="—"/>
      <w:lvlJc w:val="left"/>
      <w:pPr>
        <w:ind w:left="1644" w:hanging="360"/>
      </w:pPr>
      <w:rPr>
        <w:rFonts w:ascii="Georgia" w:hAnsi="Georgia" w:hint="default"/>
      </w:rPr>
    </w:lvl>
    <w:lvl w:ilvl="1" w:tplc="04090003" w:tentative="1">
      <w:start w:val="1"/>
      <w:numFmt w:val="bullet"/>
      <w:lvlText w:val="o"/>
      <w:lvlJc w:val="left"/>
      <w:pPr>
        <w:ind w:left="2364" w:hanging="360"/>
      </w:pPr>
      <w:rPr>
        <w:rFonts w:ascii="Courier New" w:hAnsi="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2">
    <w:nsid w:val="22E6095D"/>
    <w:multiLevelType w:val="hybridMultilevel"/>
    <w:tmpl w:val="E8383EC2"/>
    <w:lvl w:ilvl="0" w:tplc="4B2C6EA4">
      <w:start w:val="1"/>
      <w:numFmt w:val="bullet"/>
      <w:lvlText w:val="—"/>
      <w:lvlJc w:val="left"/>
      <w:pPr>
        <w:ind w:left="1287" w:hanging="360"/>
      </w:pPr>
      <w:rPr>
        <w:rFonts w:ascii="Georgia" w:hAnsi="Georgia"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34"/>
    <w:rsid w:val="00005058"/>
    <w:rsid w:val="00051E28"/>
    <w:rsid w:val="00057A0E"/>
    <w:rsid w:val="00085DEB"/>
    <w:rsid w:val="000D4E10"/>
    <w:rsid w:val="000D6452"/>
    <w:rsid w:val="0010712E"/>
    <w:rsid w:val="0011145D"/>
    <w:rsid w:val="0011527A"/>
    <w:rsid w:val="001542A7"/>
    <w:rsid w:val="00185A5D"/>
    <w:rsid w:val="002242C1"/>
    <w:rsid w:val="0023114B"/>
    <w:rsid w:val="002D3196"/>
    <w:rsid w:val="002D43F4"/>
    <w:rsid w:val="002D44E7"/>
    <w:rsid w:val="002F330A"/>
    <w:rsid w:val="003123CF"/>
    <w:rsid w:val="00327834"/>
    <w:rsid w:val="003438F1"/>
    <w:rsid w:val="00370BC3"/>
    <w:rsid w:val="003B6CA5"/>
    <w:rsid w:val="003D05EF"/>
    <w:rsid w:val="003F5AD3"/>
    <w:rsid w:val="00426F49"/>
    <w:rsid w:val="004715CC"/>
    <w:rsid w:val="00480866"/>
    <w:rsid w:val="004862A0"/>
    <w:rsid w:val="00490CF2"/>
    <w:rsid w:val="0049604B"/>
    <w:rsid w:val="004F181E"/>
    <w:rsid w:val="004F282E"/>
    <w:rsid w:val="00533F61"/>
    <w:rsid w:val="00540D11"/>
    <w:rsid w:val="00552F5A"/>
    <w:rsid w:val="00583089"/>
    <w:rsid w:val="005B22CB"/>
    <w:rsid w:val="005E6AE5"/>
    <w:rsid w:val="0063711D"/>
    <w:rsid w:val="006511F1"/>
    <w:rsid w:val="00660289"/>
    <w:rsid w:val="00696FB8"/>
    <w:rsid w:val="006A4E5E"/>
    <w:rsid w:val="00753425"/>
    <w:rsid w:val="00754094"/>
    <w:rsid w:val="008538BB"/>
    <w:rsid w:val="00870939"/>
    <w:rsid w:val="008A79FA"/>
    <w:rsid w:val="008B73A9"/>
    <w:rsid w:val="00915725"/>
    <w:rsid w:val="009D0BA2"/>
    <w:rsid w:val="00A54C59"/>
    <w:rsid w:val="00A60D73"/>
    <w:rsid w:val="00A66282"/>
    <w:rsid w:val="00AB4315"/>
    <w:rsid w:val="00AE55FF"/>
    <w:rsid w:val="00B45411"/>
    <w:rsid w:val="00B85492"/>
    <w:rsid w:val="00B85A80"/>
    <w:rsid w:val="00B977CC"/>
    <w:rsid w:val="00BC211F"/>
    <w:rsid w:val="00BD123D"/>
    <w:rsid w:val="00C06264"/>
    <w:rsid w:val="00C10E56"/>
    <w:rsid w:val="00C45065"/>
    <w:rsid w:val="00C51D96"/>
    <w:rsid w:val="00C77A8F"/>
    <w:rsid w:val="00C863C4"/>
    <w:rsid w:val="00D65BBB"/>
    <w:rsid w:val="00D6608F"/>
    <w:rsid w:val="00D80EAB"/>
    <w:rsid w:val="00E23635"/>
    <w:rsid w:val="00E32720"/>
    <w:rsid w:val="00E65394"/>
    <w:rsid w:val="00EA2899"/>
    <w:rsid w:val="00EE2BA8"/>
    <w:rsid w:val="00F14E61"/>
    <w:rsid w:val="00F4625A"/>
    <w:rsid w:val="00F70FDA"/>
    <w:rsid w:val="00FC3535"/>
    <w:rsid w:val="00FD2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A1100E"/>
  <w14:defaultImageDpi w14:val="300"/>
  <w15:docId w15:val="{7005D0DD-4D1D-4619-8AF2-060F7FD6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HAnsi"/>
        <w:lang w:val="en-US" w:eastAsia="ja-JP"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80866"/>
    <w:pPr>
      <w:spacing w:line="360" w:lineRule="auto"/>
      <w:jc w:val="center"/>
    </w:pPr>
    <w:rPr>
      <w:rFonts w:eastAsiaTheme="minorHAnsi" w:cs="Arial"/>
      <w:sz w:val="28"/>
      <w:szCs w:val="28"/>
      <w:lang w:val="en-GB"/>
    </w:rPr>
  </w:style>
  <w:style w:type="paragraph" w:styleId="Titre1">
    <w:name w:val="heading 1"/>
    <w:basedOn w:val="Style1"/>
    <w:next w:val="Normal"/>
    <w:link w:val="Titre1Car"/>
    <w:autoRedefine/>
    <w:qFormat/>
    <w:rsid w:val="000D6452"/>
    <w:pPr>
      <w:outlineLvl w:val="0"/>
    </w:pPr>
  </w:style>
  <w:style w:type="paragraph" w:styleId="Titre2">
    <w:name w:val="heading 2"/>
    <w:basedOn w:val="Normal"/>
    <w:link w:val="Titre2Car"/>
    <w:autoRedefine/>
    <w:qFormat/>
    <w:rsid w:val="000D6452"/>
    <w:pPr>
      <w:jc w:val="left"/>
      <w:outlineLvl w:val="1"/>
    </w:pPr>
    <w:rPr>
      <w:b/>
      <w:color w:val="003D82"/>
      <w:u w:val="single"/>
    </w:rPr>
  </w:style>
  <w:style w:type="paragraph" w:styleId="Titre3">
    <w:name w:val="heading 3"/>
    <w:basedOn w:val="Normal"/>
    <w:next w:val="Normal"/>
    <w:link w:val="Titre3Car"/>
    <w:autoRedefine/>
    <w:unhideWhenUsed/>
    <w:qFormat/>
    <w:rsid w:val="003B6CA5"/>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00" w:line="480" w:lineRule="auto"/>
      <w:jc w:val="both"/>
      <w:outlineLvl w:val="2"/>
    </w:pPr>
    <w:rPr>
      <w:rFonts w:eastAsiaTheme="majorEastAsia" w:cs="Times New Roman"/>
      <w:b/>
      <w:bCs/>
      <w:i/>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rsid w:val="00F4625A"/>
    <w:rPr>
      <w:rFonts w:ascii="Arial" w:hAnsi="Arial"/>
      <w:b/>
      <w:bCs/>
      <w:sz w:val="28"/>
      <w:szCs w:val="28"/>
    </w:rPr>
  </w:style>
  <w:style w:type="paragraph" w:styleId="TM1">
    <w:name w:val="toc 1"/>
    <w:basedOn w:val="Normal"/>
    <w:uiPriority w:val="39"/>
    <w:qFormat/>
    <w:rsid w:val="00F4625A"/>
    <w:pPr>
      <w:spacing w:before="120"/>
    </w:pPr>
    <w:rPr>
      <w:rFonts w:eastAsia="Arial Unicode MS" w:cs="Times New Roman"/>
      <w:b/>
      <w:kern w:val="1"/>
      <w:sz w:val="32"/>
      <w:lang w:eastAsia="en-GB"/>
    </w:rPr>
  </w:style>
  <w:style w:type="paragraph" w:styleId="TM2">
    <w:name w:val="toc 2"/>
    <w:basedOn w:val="Normal"/>
    <w:next w:val="Normal"/>
    <w:autoRedefine/>
    <w:uiPriority w:val="39"/>
    <w:unhideWhenUsed/>
    <w:qFormat/>
    <w:rsid w:val="00F4625A"/>
    <w:pPr>
      <w:spacing w:after="100" w:line="276" w:lineRule="auto"/>
      <w:ind w:left="220"/>
    </w:pPr>
    <w:rPr>
      <w:b/>
    </w:rPr>
  </w:style>
  <w:style w:type="paragraph" w:styleId="TM3">
    <w:name w:val="toc 3"/>
    <w:basedOn w:val="Normal"/>
    <w:next w:val="Normal"/>
    <w:autoRedefine/>
    <w:uiPriority w:val="39"/>
    <w:unhideWhenUsed/>
    <w:qFormat/>
    <w:rsid w:val="00F4625A"/>
    <w:pPr>
      <w:spacing w:after="100" w:line="276" w:lineRule="auto"/>
      <w:ind w:left="440"/>
    </w:pPr>
    <w:rPr>
      <w:b/>
      <w:i/>
    </w:rPr>
  </w:style>
  <w:style w:type="character" w:customStyle="1" w:styleId="Titre2Car">
    <w:name w:val="Titre 2 Car"/>
    <w:link w:val="Titre2"/>
    <w:rsid w:val="000D6452"/>
    <w:rPr>
      <w:rFonts w:eastAsiaTheme="minorHAnsi" w:cs="Arial"/>
      <w:b/>
      <w:color w:val="003D82"/>
      <w:sz w:val="28"/>
      <w:szCs w:val="28"/>
      <w:u w:val="single"/>
      <w:lang w:val="en-GB"/>
    </w:rPr>
  </w:style>
  <w:style w:type="character" w:customStyle="1" w:styleId="Titre1Car">
    <w:name w:val="Titre 1 Car"/>
    <w:link w:val="Titre1"/>
    <w:rsid w:val="000D6452"/>
    <w:rPr>
      <w:rFonts w:eastAsiaTheme="minorHAnsi" w:cs="Arial"/>
      <w:b/>
      <w:color w:val="003D82"/>
      <w:sz w:val="36"/>
      <w:szCs w:val="28"/>
      <w:lang w:val="en-GB"/>
    </w:rPr>
  </w:style>
  <w:style w:type="paragraph" w:customStyle="1" w:styleId="Heading11">
    <w:name w:val="Heading 11"/>
    <w:next w:val="Normal"/>
    <w:autoRedefine/>
    <w:rsid w:val="001542A7"/>
    <w:pPr>
      <w:keepNext/>
      <w:spacing w:before="1000" w:after="240" w:line="480" w:lineRule="auto"/>
      <w:outlineLvl w:val="0"/>
    </w:pPr>
    <w:rPr>
      <w:rFonts w:ascii="Times New Roman" w:eastAsia="ヒラギノ角ゴ Pro W3" w:hAnsi="Times New Roman" w:cs="Times New Roman"/>
      <w:b/>
      <w:smallCaps/>
      <w:color w:val="000000"/>
      <w:sz w:val="36"/>
    </w:rPr>
  </w:style>
  <w:style w:type="character" w:customStyle="1" w:styleId="Titre3Car">
    <w:name w:val="Titre 3 Car"/>
    <w:basedOn w:val="Policepardfaut"/>
    <w:link w:val="Titre3"/>
    <w:rsid w:val="003B6CA5"/>
    <w:rPr>
      <w:rFonts w:ascii="Times New Roman" w:eastAsiaTheme="majorEastAsia" w:hAnsi="Times New Roman" w:cs="Times New Roman"/>
      <w:b/>
      <w:bCs/>
      <w:i/>
      <w:u w:color="000000"/>
    </w:rPr>
  </w:style>
  <w:style w:type="paragraph" w:styleId="Sous-titre">
    <w:name w:val="Subtitle"/>
    <w:basedOn w:val="Normal"/>
    <w:next w:val="Normal"/>
    <w:link w:val="Sous-titreCar"/>
    <w:autoRedefine/>
    <w:rsid w:val="009D0BA2"/>
    <w:pPr>
      <w:spacing w:after="60" w:line="276" w:lineRule="auto"/>
      <w:outlineLvl w:val="1"/>
    </w:pPr>
    <w:rPr>
      <w:rFonts w:ascii="Calibri" w:eastAsia="MS Gothic" w:hAnsi="Calibri" w:cs="Times New Roman"/>
    </w:rPr>
  </w:style>
  <w:style w:type="character" w:customStyle="1" w:styleId="Sous-titreCar">
    <w:name w:val="Sous-titre Car"/>
    <w:link w:val="Sous-titre"/>
    <w:rsid w:val="009D0BA2"/>
    <w:rPr>
      <w:rFonts w:ascii="Calibri" w:eastAsia="MS Gothic" w:hAnsi="Calibri" w:cs="Times New Roman"/>
      <w:sz w:val="28"/>
    </w:rPr>
  </w:style>
  <w:style w:type="paragraph" w:customStyle="1" w:styleId="Style2">
    <w:name w:val="Style2"/>
    <w:basedOn w:val="Notedebasdepage"/>
    <w:autoRedefine/>
    <w:rsid w:val="00A54C59"/>
    <w:rPr>
      <w:rFonts w:eastAsia="MS ??" w:cs="Times New Roman"/>
      <w:szCs w:val="20"/>
      <w:lang w:val="it-IT" w:eastAsia="it-IT"/>
    </w:rPr>
  </w:style>
  <w:style w:type="paragraph" w:styleId="Notedebasdepage">
    <w:name w:val="footnote text"/>
    <w:basedOn w:val="Normal"/>
    <w:link w:val="NotedebasdepageCar"/>
    <w:autoRedefine/>
    <w:uiPriority w:val="99"/>
    <w:unhideWhenUsed/>
    <w:rsid w:val="002F330A"/>
    <w:pPr>
      <w:spacing w:line="240" w:lineRule="auto"/>
    </w:pPr>
    <w:rPr>
      <w:rFonts w:ascii="Garamond" w:hAnsi="Garamond"/>
      <w:sz w:val="20"/>
    </w:rPr>
  </w:style>
  <w:style w:type="character" w:customStyle="1" w:styleId="NotedebasdepageCar">
    <w:name w:val="Note de bas de page Car"/>
    <w:basedOn w:val="Policepardfaut"/>
    <w:link w:val="Notedebasdepage"/>
    <w:uiPriority w:val="99"/>
    <w:rsid w:val="002F330A"/>
    <w:rPr>
      <w:rFonts w:ascii="Garamond" w:eastAsiaTheme="minorHAnsi" w:hAnsi="Garamond"/>
      <w:szCs w:val="22"/>
      <w:lang w:val="en-GB"/>
    </w:rPr>
  </w:style>
  <w:style w:type="paragraph" w:customStyle="1" w:styleId="Style1">
    <w:name w:val="Style 1"/>
    <w:basedOn w:val="Normal"/>
    <w:rsid w:val="000D6452"/>
    <w:pPr>
      <w:jc w:val="left"/>
    </w:pPr>
    <w:rPr>
      <w:b/>
      <w:color w:val="003D82"/>
      <w:sz w:val="36"/>
    </w:rPr>
  </w:style>
  <w:style w:type="paragraph" w:styleId="Paragraphedeliste">
    <w:name w:val="List Paragraph"/>
    <w:basedOn w:val="Normal"/>
    <w:uiPriority w:val="34"/>
    <w:qFormat/>
    <w:rsid w:val="00D6608F"/>
    <w:pPr>
      <w:ind w:left="720"/>
      <w:contextualSpacing/>
    </w:pPr>
  </w:style>
  <w:style w:type="paragraph" w:styleId="Titre">
    <w:name w:val="Title"/>
    <w:basedOn w:val="Normal"/>
    <w:next w:val="Normal"/>
    <w:link w:val="TitreCar"/>
    <w:uiPriority w:val="10"/>
    <w:qFormat/>
    <w:rsid w:val="00480866"/>
    <w:pPr>
      <w:spacing w:line="240" w:lineRule="auto"/>
    </w:pPr>
    <w:rPr>
      <w:b/>
      <w:sz w:val="48"/>
      <w:lang w:val="en-US" w:eastAsia="en-US"/>
    </w:rPr>
  </w:style>
  <w:style w:type="character" w:customStyle="1" w:styleId="TitreCar">
    <w:name w:val="Titre Car"/>
    <w:basedOn w:val="Policepardfaut"/>
    <w:link w:val="Titre"/>
    <w:uiPriority w:val="10"/>
    <w:rsid w:val="00480866"/>
    <w:rPr>
      <w:rFonts w:eastAsiaTheme="minorHAnsi" w:cs="Arial"/>
      <w:b/>
      <w:sz w:val="48"/>
      <w:szCs w:val="28"/>
      <w:lang w:eastAsia="en-US"/>
    </w:rPr>
  </w:style>
  <w:style w:type="paragraph" w:styleId="En-ttedetabledesmatires">
    <w:name w:val="TOC Heading"/>
    <w:basedOn w:val="Titre1"/>
    <w:next w:val="Normal"/>
    <w:uiPriority w:val="39"/>
    <w:unhideWhenUsed/>
    <w:qFormat/>
    <w:rsid w:val="00552F5A"/>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fr-FR" w:eastAsia="fr-FR"/>
    </w:rPr>
  </w:style>
  <w:style w:type="character" w:styleId="Lienhypertexte">
    <w:name w:val="Hyperlink"/>
    <w:basedOn w:val="Policepardfaut"/>
    <w:uiPriority w:val="99"/>
    <w:unhideWhenUsed/>
    <w:rsid w:val="00552F5A"/>
    <w:rPr>
      <w:color w:val="0000FF" w:themeColor="hyperlink"/>
      <w:u w:val="single"/>
    </w:rPr>
  </w:style>
  <w:style w:type="paragraph" w:styleId="En-tte">
    <w:name w:val="header"/>
    <w:basedOn w:val="Normal"/>
    <w:link w:val="En-tteCar"/>
    <w:uiPriority w:val="99"/>
    <w:unhideWhenUsed/>
    <w:rsid w:val="003D05EF"/>
    <w:pPr>
      <w:tabs>
        <w:tab w:val="center" w:pos="4536"/>
        <w:tab w:val="right" w:pos="9072"/>
      </w:tabs>
      <w:spacing w:line="240" w:lineRule="auto"/>
    </w:pPr>
  </w:style>
  <w:style w:type="character" w:customStyle="1" w:styleId="En-tteCar">
    <w:name w:val="En-tête Car"/>
    <w:basedOn w:val="Policepardfaut"/>
    <w:link w:val="En-tte"/>
    <w:uiPriority w:val="99"/>
    <w:rsid w:val="003D05EF"/>
    <w:rPr>
      <w:rFonts w:eastAsiaTheme="minorHAnsi" w:cs="Arial"/>
      <w:sz w:val="28"/>
      <w:szCs w:val="28"/>
      <w:lang w:val="en-GB"/>
    </w:rPr>
  </w:style>
  <w:style w:type="paragraph" w:styleId="Pieddepage">
    <w:name w:val="footer"/>
    <w:basedOn w:val="Normal"/>
    <w:link w:val="PieddepageCar"/>
    <w:uiPriority w:val="99"/>
    <w:unhideWhenUsed/>
    <w:rsid w:val="003D05EF"/>
    <w:pPr>
      <w:tabs>
        <w:tab w:val="center" w:pos="4536"/>
        <w:tab w:val="right" w:pos="9072"/>
      </w:tabs>
      <w:spacing w:line="240" w:lineRule="auto"/>
    </w:pPr>
  </w:style>
  <w:style w:type="character" w:customStyle="1" w:styleId="PieddepageCar">
    <w:name w:val="Pied de page Car"/>
    <w:basedOn w:val="Policepardfaut"/>
    <w:link w:val="Pieddepage"/>
    <w:uiPriority w:val="99"/>
    <w:rsid w:val="003D05EF"/>
    <w:rPr>
      <w:rFonts w:eastAsiaTheme="minorHAnsi" w:cs="Arial"/>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DDA9A-E118-48CB-839E-54FC23CB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11</Pages>
  <Words>2450</Words>
  <Characters>13480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Campbell</dc:creator>
  <cp:keywords/>
  <dc:description/>
  <cp:lastModifiedBy>Secretariat</cp:lastModifiedBy>
  <cp:revision>20</cp:revision>
  <dcterms:created xsi:type="dcterms:W3CDTF">2019-09-30T14:18:00Z</dcterms:created>
  <dcterms:modified xsi:type="dcterms:W3CDTF">2019-10-02T15:06:00Z</dcterms:modified>
</cp:coreProperties>
</file>