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74" w:rsidRDefault="00203974" w:rsidP="00752A10">
      <w:pPr>
        <w:pStyle w:val="Header"/>
      </w:pPr>
    </w:p>
    <w:p w:rsidR="00203974" w:rsidRDefault="00203974" w:rsidP="00752A10">
      <w:pPr>
        <w:pStyle w:val="Header"/>
      </w:pPr>
    </w:p>
    <w:p w:rsidR="00203974" w:rsidRDefault="00203974" w:rsidP="00752A10"/>
    <w:p w:rsidR="00203974" w:rsidRDefault="00203974" w:rsidP="00752A10"/>
    <w:p w:rsidR="00203974" w:rsidRPr="00752A10" w:rsidRDefault="00203974" w:rsidP="00752A10">
      <w:pPr>
        <w:pStyle w:val="Title"/>
      </w:pPr>
      <w:r>
        <w:t>СКРИТОТО МНОЗИНСТВО – практическо ръководство</w:t>
      </w:r>
    </w:p>
    <w:p w:rsidR="00203974" w:rsidRDefault="00203974" w:rsidP="00752A10"/>
    <w:p w:rsidR="00203974" w:rsidRPr="00752A10" w:rsidRDefault="00BE5C55" w:rsidP="00752A10">
      <w:pPr>
        <w:pStyle w:val="Subtitle"/>
      </w:pPr>
      <w:r>
        <w:t>Преглед на икономическата неактивност на незрящите и хората с увредено зрение</w:t>
      </w: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от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Филипа Симкис и Фред Райд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2013</w:t>
      </w:r>
    </w:p>
    <w:p w:rsidR="00203974" w:rsidRPr="00902373" w:rsidRDefault="00203974" w:rsidP="00752A10"/>
    <w:p w:rsidR="00203974" w:rsidRPr="00902373" w:rsidRDefault="00203974" w:rsidP="00752A10"/>
    <w:p w:rsidR="00203974" w:rsidRPr="00203974" w:rsidRDefault="008265E1" w:rsidP="00752A10">
      <w:r w:rsidRPr="008265E1">
        <w:rPr>
          <w:noProof/>
        </w:rPr>
        <w:pict>
          <v:group id="_x0000_s1026" style="position:absolute;left:0;text-align:left;margin-left:0;margin-top:106.95pt;width:594.65pt;height:118.65pt;z-index:251658240;mso-position-horizontal:center;mso-position-horizontal-relative:margin" coordorigin="94,11795" coordsize="11893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Лого RNIB подкрепа за незрящи и хора с частично увредено зрение&#10;Номер на регистрация за благотворителност 226227" style="position:absolute;left:94;top:11795;width:11893;height:2373;mso-position-horizontal-relative:page;mso-position-vertical-relative:page">
              <v:imagedata r:id="rId7" o:title="Layout 1_Page 1 copy"/>
            </v:shape>
            <v:shape id="_x0000_s1028" type="#_x0000_t75" style="position:absolute;left:7023;top:12123;width:4338;height:1589;mso-position-horizontal-relative:margin" wrapcoords="-66 0 -66 21420 21600 21420 21600 0 -66 0">
              <v:imagedata r:id="rId8" o:title="EBU_logo_rvb"/>
            </v:shape>
            <w10:wrap anchorx="margin"/>
          </v:group>
        </w:pict>
      </w:r>
      <w:r w:rsidR="00753F30">
        <w:br w:type="page"/>
      </w:r>
    </w:p>
    <w:p w:rsidR="00C213FD" w:rsidRPr="00752A10" w:rsidRDefault="00B513F8" w:rsidP="00FD2AD4">
      <w:pPr>
        <w:pStyle w:val="Heading1"/>
      </w:pPr>
      <w:r>
        <w:lastRenderedPageBreak/>
        <w:t>Кои са "скритото мнозинство"?</w:t>
      </w:r>
    </w:p>
    <w:p w:rsidR="0045727A" w:rsidRPr="00752A10" w:rsidRDefault="0045727A" w:rsidP="00752A10">
      <w:r>
        <w:t>Хората, които работят или са безработни и активно търсят работа, се наричат "икономически активни". Тези, които попадат извън тези две групи, са "икономически неактивни".</w:t>
      </w:r>
    </w:p>
    <w:p w:rsidR="00C213FD" w:rsidRDefault="0045727A" w:rsidP="00752A10">
      <w:r>
        <w:t>Незрящите и хората с нарушено зрение практикуват широк спектър от професии в ЕС, но EBU събра доказателства за високи нива на икономическа неактивност сред тази група в страните членки на Европейския съюз, като процентите варират между 40 и 80 процента.  EBU изготви серия от задълбочени доклади, с подкрепата на PROGRESS, програмата на Общността за заетост и социална солидарност, и с подкрепата на Кралския национален институт за незрящи хора.</w:t>
      </w:r>
    </w:p>
    <w:p w:rsidR="0045727A" w:rsidRPr="0029379A" w:rsidRDefault="00C213FD" w:rsidP="00752A10">
      <w:r>
        <w:t>Тези доклади, които са достъпни на интернет страницата на EBU, представят доказателства, че в целия ЕС като цяло, тази група от икономически неактивни незрящи и хора с нарушено зрение представлява едно "скрито мнозинство".</w:t>
      </w:r>
    </w:p>
    <w:p w:rsidR="0045727A" w:rsidRDefault="00B513F8" w:rsidP="00FD2AD4">
      <w:pPr>
        <w:pStyle w:val="Heading1"/>
      </w:pPr>
      <w:r>
        <w:t>На кого е необходима информация за "скритото мнозинство"?</w:t>
      </w:r>
    </w:p>
    <w:p w:rsidR="00B513F8" w:rsidRPr="00B513F8" w:rsidRDefault="00B513F8" w:rsidP="00752A10">
      <w:r>
        <w:t xml:space="preserve">Тъй като тази група представлява най-голямата част от незрящите и хората с нарушено зрение в трудоспособна възраст, важно е политиците и доставчиците на услуги да разберат как да ангажират икономически неактивните незрящи и хора с нарушено зрение и как да адаптират разпоредбите, така че да отговарят на техните потребности. </w:t>
      </w:r>
    </w:p>
    <w:p w:rsidR="0012521C" w:rsidRDefault="0012521C" w:rsidP="00752A10">
      <w:r>
        <w:t xml:space="preserve">Членовете на EBU могат да използват информация за процента на икономическата неактивност сред незрящите и хората с нарушено зрение в трудоспособна възраст в работата си, за да повишат качеството на услугите за незрящи и хора с нарушено зрение. </w:t>
      </w:r>
    </w:p>
    <w:p w:rsidR="0012521C" w:rsidRDefault="0012521C" w:rsidP="00752A10"/>
    <w:p w:rsidR="0012521C" w:rsidRPr="0029379A" w:rsidRDefault="0012521C" w:rsidP="00752A10"/>
    <w:p w:rsidR="00140462" w:rsidRDefault="00B513F8" w:rsidP="00FD2AD4">
      <w:pPr>
        <w:pStyle w:val="Heading1"/>
      </w:pPr>
      <w:r>
        <w:lastRenderedPageBreak/>
        <w:t>Откриване на "скритото мнозинство"</w:t>
      </w:r>
    </w:p>
    <w:p w:rsidR="0012521C" w:rsidRPr="00752A10" w:rsidRDefault="00BA1151" w:rsidP="00FD2AD4">
      <w:pPr>
        <w:pStyle w:val="Heading2"/>
      </w:pPr>
      <w:r>
        <w:t xml:space="preserve">Как? </w:t>
      </w:r>
    </w:p>
    <w:p w:rsidR="00BA1151" w:rsidRDefault="00BA1151" w:rsidP="00752A10">
      <w:r>
        <w:t>Полуструктурирани интервюта с въпроси, изпратени предварително на интервюираните</w:t>
      </w:r>
    </w:p>
    <w:p w:rsidR="00BA1151" w:rsidRPr="00752A10" w:rsidRDefault="00BA1151" w:rsidP="00FD2AD4">
      <w:pPr>
        <w:pStyle w:val="Heading2"/>
      </w:pPr>
      <w:r>
        <w:t xml:space="preserve">С кого? </w:t>
      </w:r>
    </w:p>
    <w:p w:rsidR="00BA1151" w:rsidRDefault="00BA1151" w:rsidP="00752A10">
      <w:pPr>
        <w:pStyle w:val="ListParagraph"/>
        <w:numPr>
          <w:ilvl w:val="0"/>
          <w:numId w:val="5"/>
        </w:numPr>
      </w:pPr>
      <w:r>
        <w:t>Хора, които отговарят за предоставяне на държавни услуги по заетост за незрящи и хора с нарушено зрение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>Държавни служители, които отговарят за мерките за активиране на работната ръка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 xml:space="preserve">Добре информирани наблюдатели, включително хора от големи организации, които представляват самите незрящи </w:t>
      </w:r>
    </w:p>
    <w:p w:rsidR="00BA1151" w:rsidRDefault="0012521C" w:rsidP="00752A10">
      <w:r>
        <w:rPr>
          <w:b/>
        </w:rPr>
        <w:t>Съвет:</w:t>
      </w:r>
      <w:r>
        <w:t xml:space="preserve"> Членовете на EBU са предоставяли ценна подкрепа при откриване на ключови лица за контакт за интервюиране. </w:t>
      </w:r>
    </w:p>
    <w:p w:rsidR="00BA1151" w:rsidRDefault="0012521C" w:rsidP="00752A10">
      <w:r>
        <w:rPr>
          <w:b/>
        </w:rPr>
        <w:t>Важно:</w:t>
      </w:r>
      <w:r>
        <w:t xml:space="preserve"> Анонимността на всеки е гарантирана – никоя част от направените коментари не може да се свърже с някое от лицата.</w:t>
      </w:r>
    </w:p>
    <w:p w:rsidR="00BA1151" w:rsidRPr="00752A10" w:rsidRDefault="008B6775" w:rsidP="00FD2AD4">
      <w:pPr>
        <w:pStyle w:val="Heading2"/>
      </w:pPr>
      <w:r>
        <w:t xml:space="preserve">Въпроси, които да се зададат </w:t>
      </w:r>
    </w:p>
    <w:p w:rsidR="00203974" w:rsidRDefault="000A5E8F" w:rsidP="00752A10">
      <w:r>
        <w:t>За изследване на мерките за активиране на работната ръка, услугите в подкрепа на заетостта и за събиране на доказателства за "скритото мнозинство", Вашите въпроси трябва да бъдат структурирани около следната поредица от теми:</w:t>
      </w:r>
    </w:p>
    <w:p w:rsidR="00203974" w:rsidRDefault="00203974" w:rsidP="00752A10"/>
    <w:p w:rsidR="00203974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Правна дефиниция за слепота и/или увреждане на зрението, която дава право на дадено лице за достъп до специални програми за активиране на работната ръка.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Брой незрящи и хора с нарушено зрение, които са заети, разделени по възраст, пол и допълнителни увреждания.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Набор от професии, в които са заети незрящите и хората с нарушено зрение, заедно с индикация за групиране в една доминираща професия.</w:t>
      </w:r>
    </w:p>
    <w:p w:rsidR="00203974" w:rsidRPr="00AC28D9" w:rsidRDefault="00203974" w:rsidP="00FD2AD4">
      <w:pPr>
        <w:pStyle w:val="ListNumber"/>
        <w:numPr>
          <w:ilvl w:val="0"/>
          <w:numId w:val="0"/>
        </w:numPr>
        <w:spacing w:after="240"/>
        <w:ind w:left="567"/>
      </w:pP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lastRenderedPageBreak/>
        <w:t>Брой незрящи и/или хора с нарушено зрение, които активно търсят работа, разделени по възраст, пол и допълнителни увреждания.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Брой незрящи и/или хора с нарушено зрение, които са икономически неактивни, разделени по възраст и пол.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Брой незрящи и хора с нарушено зрение, които са близо до пазара на труда.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Брой незрящи и хора с нарушено зрение, които са далече от пазара на труда.</w:t>
      </w:r>
    </w:p>
    <w:p w:rsidR="00203974" w:rsidRPr="00AC28D9" w:rsidRDefault="00FD2AD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Видове социални помощи, изплащани на незрящи и хора с нарушено зрение, които са икономически неактивни, като се направи разграничение между помощи, които заместват доходите и компенсации за разходите, свързани с увреждането.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Процент на тези социални помощи от средните годишни доходи.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Програми за активиране на работната ръка, специално предлагани за незрящи и хора с нарушено зрение, които имат за цел осигуряване на заетост в основни професии и в специални центрове, например защитени фабрики, социални предприятия, социални фирми и др.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Законодателство, имащо за цел да насърчи работодателите да наемат незрящи и хора с нарушено зрение, например квоти, запазени работни места.</w:t>
      </w:r>
    </w:p>
    <w:p w:rsidR="0012521C" w:rsidRPr="00752A10" w:rsidRDefault="0012521C" w:rsidP="00FD2AD4">
      <w:pPr>
        <w:pStyle w:val="Heading2"/>
      </w:pPr>
      <w:r>
        <w:t>Проверка на точността на доклада</w:t>
      </w:r>
    </w:p>
    <w:p w:rsidR="0012521C" w:rsidRDefault="0012521C" w:rsidP="00752A10">
      <w:r>
        <w:t xml:space="preserve">Изпратете на всички участници първия вариант на доклада, за да им дадете възможност да направят корекции, да изпратят допълнителни доказателства и да коментират. </w:t>
      </w:r>
    </w:p>
    <w:p w:rsidR="0012521C" w:rsidRDefault="0012521C" w:rsidP="00752A10">
      <w:r>
        <w:t>По този начин ще получите широко съгласуване и балансиран доклад за услугите по заетост и тяхното въздействие върху незрящите и хората с нарушено зрение и ще можете да извлечете заключения за скритото мнозинство.</w:t>
      </w:r>
    </w:p>
    <w:p w:rsidR="00203974" w:rsidRPr="009023FE" w:rsidRDefault="0012521C" w:rsidP="00752A10">
      <w:r>
        <w:rPr>
          <w:b/>
        </w:rPr>
        <w:t>Важно:</w:t>
      </w:r>
      <w:r>
        <w:t xml:space="preserve"> Всякакви останали различия в акцентирането и понякога в тълкуването трябва да бъдат оповестени в доклада.</w:t>
      </w:r>
    </w:p>
    <w:p w:rsidR="00F52847" w:rsidRDefault="00F52847" w:rsidP="00752A10"/>
    <w:p w:rsidR="0012521C" w:rsidRDefault="0012521C" w:rsidP="00752A10"/>
    <w:p w:rsidR="0012521C" w:rsidRPr="00752A10" w:rsidRDefault="0012521C" w:rsidP="00FD2AD4">
      <w:pPr>
        <w:pStyle w:val="Heading2"/>
      </w:pPr>
      <w:r>
        <w:t>Публикуване на Вашия доклад за "скритото мнозинство"</w:t>
      </w:r>
    </w:p>
    <w:p w:rsidR="00BA1151" w:rsidRDefault="00BE5C55" w:rsidP="00752A10">
      <w:r>
        <w:t>EBU ще се радва да получи Вашия доклад, особено ако той посочва добри практики, които могат да бъдат разпространени в Европейския съюз от EBU и членуващите в него организации.</w:t>
      </w:r>
    </w:p>
    <w:p w:rsidR="00BE5C55" w:rsidRDefault="00BE5C55" w:rsidP="00752A10">
      <w:r>
        <w:t>EBU може да публикува Вашия доклад на интернет страницата си, заедно с други доклади за "скритото мнозинство":</w:t>
      </w:r>
    </w:p>
    <w:p w:rsidR="00BE5C55" w:rsidRDefault="008265E1" w:rsidP="00752A10">
      <w:hyperlink r:id="rId9">
        <w:r w:rsidR="00753F30">
          <w:rPr>
            <w:rStyle w:val="Hyperlink"/>
          </w:rPr>
          <w:t>http://www.euroblind.org/working-areas/rehabilitation-vocational-training-and-employment/</w:t>
        </w:r>
      </w:hyperlink>
    </w:p>
    <w:p w:rsidR="00602A42" w:rsidRPr="00752A10" w:rsidRDefault="00602A42" w:rsidP="00FD2AD4">
      <w:pPr>
        <w:pStyle w:val="Heading2"/>
      </w:pPr>
      <w:r>
        <w:t>Използване на Вашия доклад за "скритото мнозинство"</w:t>
      </w:r>
    </w:p>
    <w:p w:rsidR="00602A42" w:rsidRPr="00602A42" w:rsidRDefault="00602A42" w:rsidP="00752A10">
      <w:r>
        <w:t>На интернет страницата на EBU са посочени казуси, които показват как страните членки са използвали своите доклади за скритото мнозинство, за да повлияят върху политиките и да променят практиките. EBU приветства всякаква обратна връзка за това, как използвате Вашите доклади.</w:t>
      </w: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Настоящото ръководство е съставено с подкрепата на Програмата за заетост и социална солидарност на Европейския съюз - PROGRESS (2007-2013).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t xml:space="preserve">Тази програма се изпълнява от Европейската комисия. Тя е създадена, за да осигури финансова подкрепа за изпълнение на целите на Европейския съюз в областта на заетостта, социалните въпроси и равните възможности и по този начин допринася за постигане на целите на Стратегия "Европа 2020" в тези области.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lastRenderedPageBreak/>
        <w:t>Седемгодишната програма е насочена към всички заинтересовани страни, които могат да помогнат за оформяне на развитието на подходящо и ефективно законодателство и политики в областта на трудовата заетост и социалните въпроси в ЕС-27, ЕАСТ-ЕИП и страните кандидати и предстоящи кандидати за ЕС.</w:t>
      </w: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За повече информация, вижте:  </w:t>
      </w:r>
      <w:hyperlink r:id="rId10">
        <w:r>
          <w:rPr>
            <w:rStyle w:val="Hyperlink"/>
            <w:i/>
          </w:rPr>
          <w:t>http://ec.europa.eu/progress</w:t>
        </w:r>
      </w:hyperlink>
    </w:p>
    <w:p w:rsidR="00D816C6" w:rsidRDefault="00D816C6" w:rsidP="00D816C6">
      <w:pPr>
        <w:rPr>
          <w:i/>
          <w:iCs/>
        </w:rPr>
      </w:pPr>
    </w:p>
    <w:p w:rsidR="00BA1151" w:rsidRDefault="00D816C6" w:rsidP="00D816C6">
      <w:pPr>
        <w:spacing w:after="0"/>
        <w:jc w:val="left"/>
      </w:pPr>
      <w:r>
        <w:rPr>
          <w:i/>
        </w:rPr>
        <w:t>Информацията, която се съдържа в настоящата публикация, не отразява непременно позицията или становището на Европейската комисия.</w:t>
      </w:r>
    </w:p>
    <w:sectPr w:rsidR="00BA1151" w:rsidSect="00D816C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30" w:rsidRDefault="00753F30" w:rsidP="00752A10">
      <w:r>
        <w:separator/>
      </w:r>
    </w:p>
  </w:endnote>
  <w:endnote w:type="continuationSeparator" w:id="0">
    <w:p w:rsidR="00753F30" w:rsidRDefault="00753F30" w:rsidP="007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30" w:rsidRDefault="00753F30" w:rsidP="00752A10">
      <w:r>
        <w:separator/>
      </w:r>
    </w:p>
  </w:footnote>
  <w:footnote w:type="continuationSeparator" w:id="0">
    <w:p w:rsidR="00753F30" w:rsidRDefault="00753F30" w:rsidP="007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1A690B"/>
    <w:multiLevelType w:val="hybridMultilevel"/>
    <w:tmpl w:val="7D2A4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3"/>
    <w:multiLevelType w:val="multilevel"/>
    <w:tmpl w:val="CE8E92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ED3F49"/>
    <w:multiLevelType w:val="hybridMultilevel"/>
    <w:tmpl w:val="3982B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3974"/>
    <w:rsid w:val="000A5E8F"/>
    <w:rsid w:val="0012521C"/>
    <w:rsid w:val="00140462"/>
    <w:rsid w:val="00203974"/>
    <w:rsid w:val="00293615"/>
    <w:rsid w:val="00353796"/>
    <w:rsid w:val="00413E04"/>
    <w:rsid w:val="00440161"/>
    <w:rsid w:val="0045727A"/>
    <w:rsid w:val="00544DBE"/>
    <w:rsid w:val="005C7960"/>
    <w:rsid w:val="00602A42"/>
    <w:rsid w:val="00617685"/>
    <w:rsid w:val="0066549B"/>
    <w:rsid w:val="006934E8"/>
    <w:rsid w:val="00752A10"/>
    <w:rsid w:val="00753F30"/>
    <w:rsid w:val="008265E1"/>
    <w:rsid w:val="00873A1B"/>
    <w:rsid w:val="008B6775"/>
    <w:rsid w:val="00B513F8"/>
    <w:rsid w:val="00BA1151"/>
    <w:rsid w:val="00BE5C55"/>
    <w:rsid w:val="00C213FD"/>
    <w:rsid w:val="00D434D2"/>
    <w:rsid w:val="00D455FF"/>
    <w:rsid w:val="00D816C6"/>
    <w:rsid w:val="00E7233D"/>
    <w:rsid w:val="00F52847"/>
    <w:rsid w:val="00FD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10"/>
    <w:pPr>
      <w:spacing w:after="120"/>
      <w:jc w:val="both"/>
    </w:pPr>
    <w:rPr>
      <w:rFonts w:ascii="Arial" w:hAnsi="Arial" w:cs="Arial"/>
      <w:sz w:val="28"/>
      <w:szCs w:val="28"/>
    </w:rPr>
  </w:style>
  <w:style w:type="paragraph" w:styleId="Heading1">
    <w:name w:val="heading 1"/>
    <w:basedOn w:val="Heading2"/>
    <w:next w:val="Normal"/>
    <w:qFormat/>
    <w:rsid w:val="00752A10"/>
    <w:pPr>
      <w:numPr>
        <w:ilvl w:val="0"/>
      </w:numPr>
      <w:spacing w:before="600" w:after="360"/>
      <w:ind w:left="357" w:hanging="357"/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qFormat/>
    <w:rsid w:val="00FD2AD4"/>
    <w:pPr>
      <w:numPr>
        <w:ilvl w:val="1"/>
        <w:numId w:val="6"/>
      </w:numPr>
      <w:tabs>
        <w:tab w:val="left" w:pos="1134"/>
      </w:tabs>
      <w:spacing w:before="480" w:after="240"/>
      <w:ind w:left="788" w:hanging="431"/>
      <w:outlineLvl w:val="1"/>
    </w:p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752A10"/>
    <w:pPr>
      <w:keepNext/>
      <w:spacing w:before="240" w:after="60"/>
      <w:jc w:val="center"/>
      <w:outlineLvl w:val="0"/>
    </w:pPr>
    <w:rPr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17685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link w:val="ListNumberChar"/>
    <w:rsid w:val="00617685"/>
    <w:pPr>
      <w:numPr>
        <w:numId w:val="2"/>
      </w:numPr>
      <w:tabs>
        <w:tab w:val="left" w:pos="851"/>
      </w:tabs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customStyle="1" w:styleId="Style2">
    <w:name w:val="Style2"/>
    <w:basedOn w:val="Normal"/>
    <w:rsid w:val="006934E8"/>
    <w:rPr>
      <w:b/>
      <w:sz w:val="32"/>
    </w:rPr>
  </w:style>
  <w:style w:type="paragraph" w:customStyle="1" w:styleId="Heading11">
    <w:name w:val="Heading 11"/>
    <w:basedOn w:val="Normal"/>
    <w:autoRedefine/>
    <w:rsid w:val="006934E8"/>
    <w:rPr>
      <w:b/>
      <w:sz w:val="32"/>
    </w:rPr>
  </w:style>
  <w:style w:type="character" w:customStyle="1" w:styleId="ListNumberChar">
    <w:name w:val="List Number Char"/>
    <w:basedOn w:val="DefaultParagraphFont"/>
    <w:link w:val="ListNumber"/>
    <w:rsid w:val="00203974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203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74"/>
    <w:rPr>
      <w:rFonts w:ascii="Arial" w:hAnsi="Arial"/>
      <w:sz w:val="28"/>
    </w:rPr>
  </w:style>
  <w:style w:type="paragraph" w:styleId="Footer">
    <w:name w:val="footer"/>
    <w:basedOn w:val="Normal"/>
    <w:link w:val="FooterChar"/>
    <w:rsid w:val="00203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974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1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151"/>
    <w:pPr>
      <w:ind w:left="720"/>
      <w:contextualSpacing/>
    </w:pPr>
  </w:style>
  <w:style w:type="character" w:styleId="Hyperlink">
    <w:name w:val="Hyperlink"/>
    <w:basedOn w:val="DefaultParagraphFont"/>
    <w:rsid w:val="005C7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prog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working-areas/rehabilitation-vocational-training-and-emplo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RNIB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PSimkiss</dc:creator>
  <cp:lastModifiedBy>ETLS</cp:lastModifiedBy>
  <cp:revision>2</cp:revision>
  <dcterms:created xsi:type="dcterms:W3CDTF">2013-11-21T20:30:00Z</dcterms:created>
  <dcterms:modified xsi:type="dcterms:W3CDTF">2013-11-21T20:30:00Z</dcterms:modified>
</cp:coreProperties>
</file>