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74" w:rsidRDefault="00203974" w:rsidP="00752A10">
      <w:pPr>
        <w:pStyle w:val="Header"/>
      </w:pPr>
    </w:p>
    <w:p w:rsidR="00203974" w:rsidRDefault="00203974" w:rsidP="00752A10">
      <w:pPr>
        <w:pStyle w:val="Header"/>
      </w:pPr>
    </w:p>
    <w:p w:rsidR="00203974" w:rsidRDefault="00203974" w:rsidP="00752A10"/>
    <w:p w:rsidR="00203974" w:rsidRDefault="00203974" w:rsidP="00752A10"/>
    <w:p w:rsidR="00203974" w:rsidRPr="00752A10" w:rsidRDefault="00203974" w:rsidP="00752A10">
      <w:pPr>
        <w:pStyle w:val="Title"/>
      </w:pPr>
      <w:r>
        <w:t>SKRYTÁ VĚTŠINA  - návod „jak na to“</w:t>
      </w:r>
    </w:p>
    <w:p w:rsidR="00203974" w:rsidRDefault="00203974" w:rsidP="00752A10"/>
    <w:p w:rsidR="00203974" w:rsidRPr="00752A10" w:rsidRDefault="00BE5C55" w:rsidP="00752A10">
      <w:pPr>
        <w:pStyle w:val="Subtitle"/>
      </w:pPr>
      <w:r>
        <w:t>Posouzení ekonomické neaktivity nevidomých a zrakově postižených lidí</w:t>
      </w: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sz w:val="32"/>
          <w:szCs w:val="32"/>
        </w:rPr>
      </w:pP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sestavili</w:t>
      </w: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Philippa Simkissová a Fred Reid</w:t>
      </w: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</w:p>
    <w:p w:rsidR="00203974" w:rsidRPr="00752A10" w:rsidRDefault="00203974" w:rsidP="00752A10">
      <w:pPr>
        <w:jc w:val="center"/>
        <w:rPr>
          <w:b/>
          <w:sz w:val="32"/>
          <w:szCs w:val="32"/>
        </w:rPr>
      </w:pPr>
      <w:r>
        <w:rPr>
          <w:b/>
          <w:sz w:val="32"/>
        </w:rPr>
        <w:t>2013</w:t>
      </w:r>
    </w:p>
    <w:p w:rsidR="00203974" w:rsidRPr="00902373" w:rsidRDefault="00203974" w:rsidP="00752A10"/>
    <w:p w:rsidR="00203974" w:rsidRPr="00902373" w:rsidRDefault="00203974" w:rsidP="00752A10"/>
    <w:p w:rsidR="00203974" w:rsidRPr="00203974" w:rsidRDefault="006F71C3" w:rsidP="00752A10">
      <w:r w:rsidRPr="006F71C3">
        <w:rPr>
          <w:noProof/>
        </w:rPr>
        <w:pict>
          <v:group id="_x0000_s1026" style="position:absolute;left:0;text-align:left;margin-left:0;margin-top:106.95pt;width:594.65pt;height:118.65pt;z-index:251658240;mso-position-horizontal:center;mso-position-horizontal-relative:margin" coordorigin="94,11795" coordsize="11893,23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Logo RNIB podporující nevidomé a zrakově postižené lidi&#10;Registrovaná charitativní organizace č. 226227" style="position:absolute;left:94;top:11795;width:11893;height:2373;mso-position-horizontal-relative:page;mso-position-vertical-relative:page">
              <v:imagedata r:id="rId7" o:title="Layout 1_Page 1 copy"/>
            </v:shape>
            <v:shape id="_x0000_s1028" type="#_x0000_t75" style="position:absolute;left:7023;top:12123;width:4338;height:1589;mso-position-horizontal-relative:margin" wrapcoords="-66 0 -66 21420 21600 21420 21600 0 -66 0">
              <v:imagedata r:id="rId8" o:title="EBU_logo_rvb"/>
            </v:shape>
            <w10:wrap anchorx="margin"/>
          </v:group>
        </w:pict>
      </w:r>
      <w:r w:rsidR="00753F30">
        <w:br w:type="page"/>
      </w:r>
    </w:p>
    <w:p w:rsidR="00C213FD" w:rsidRPr="00752A10" w:rsidRDefault="00B513F8" w:rsidP="00FD2AD4">
      <w:pPr>
        <w:pStyle w:val="Heading1"/>
      </w:pPr>
      <w:r>
        <w:lastRenderedPageBreak/>
        <w:t>Kdo je skrytá většina?</w:t>
      </w:r>
    </w:p>
    <w:p w:rsidR="0045727A" w:rsidRPr="00752A10" w:rsidRDefault="0045727A" w:rsidP="00752A10">
      <w:r>
        <w:t>Lidé, kteří pracují nebo jsou nezaměstnaní a aktivně si hledají zaměstnání, jsou „ekonomicky aktivní“. Ti, kteří do těchto dvou skupin nespadají, jsou „ekonomicky neaktivní“.</w:t>
      </w:r>
    </w:p>
    <w:p w:rsidR="00C213FD" w:rsidRDefault="0045727A" w:rsidP="00752A10">
      <w:r>
        <w:t xml:space="preserve">Nevidomí a zrakově postižení lidé vykonávají širokou škálu zaměstnání napříč EU, ale EBU shromáždila důkazy o vysoké úrovni ekonomické neaktivity v této skupině v členských státech Evropské unie, dosahující od 40 do 80 %.  S podporou PROGRESS, programu Společenství pro zaměstnanost a sociální solidaritu a Královského národního institutu pro nevidomé, si EBU nechala provést celou řadu hloubkových studií. </w:t>
      </w:r>
    </w:p>
    <w:p w:rsidR="0045727A" w:rsidRPr="0029379A" w:rsidRDefault="00C213FD" w:rsidP="00752A10">
      <w:r>
        <w:t>Tyto studie, které jsou k dispozici na webových stránkách EBU, poskytují důkaz o tom, že tato skupina ekonomicky neaktivních nevidomých a zrakově postižených lidí napříč celou EU představuje „skrytou většinu“.</w:t>
      </w:r>
    </w:p>
    <w:p w:rsidR="0045727A" w:rsidRDefault="00B513F8" w:rsidP="00FD2AD4">
      <w:pPr>
        <w:pStyle w:val="Heading1"/>
      </w:pPr>
      <w:r>
        <w:t>Koho je třeba o skryté většině informovat?</w:t>
      </w:r>
    </w:p>
    <w:p w:rsidR="00B513F8" w:rsidRPr="00B513F8" w:rsidRDefault="00B513F8" w:rsidP="00752A10">
      <w:r>
        <w:t xml:space="preserve">Vzhledem k tomu, že tato skupina tvoří největší část nevidomých a zrakově postižených v produktivním věku, je důležité, aby tvůrci politik a poskytovatelé služeb porozuměli tomu, jak ekonomicky neaktivní nevidomé a zrakově postižené osoby zapojit a jak přizpůsobit zaopatřování, aby byly splněny jejich potřeby. </w:t>
      </w:r>
    </w:p>
    <w:p w:rsidR="0012521C" w:rsidRDefault="0012521C" w:rsidP="00752A10">
      <w:r>
        <w:t xml:space="preserve">Informací o míře ekonomické neaktivity mezi nevidomými a zrakově postiženými lidmi v produktivním věku mohou členové EBU využívat ve své práci k přizpůsobení kvality služeb poskytovaných nevidomým a zrakově postiženým osobám. </w:t>
      </w:r>
    </w:p>
    <w:p w:rsidR="0012521C" w:rsidRDefault="0012521C" w:rsidP="00752A10"/>
    <w:p w:rsidR="0012521C" w:rsidRDefault="0012521C" w:rsidP="00752A10"/>
    <w:p w:rsidR="00EB4FDE" w:rsidRPr="0029379A" w:rsidRDefault="00EB4FDE" w:rsidP="00752A10"/>
    <w:p w:rsidR="00140462" w:rsidRDefault="00B513F8" w:rsidP="00FD2AD4">
      <w:pPr>
        <w:pStyle w:val="Heading1"/>
      </w:pPr>
      <w:r>
        <w:lastRenderedPageBreak/>
        <w:t>Hledání skryté většiny</w:t>
      </w:r>
    </w:p>
    <w:p w:rsidR="0012521C" w:rsidRPr="00752A10" w:rsidRDefault="00BA1151" w:rsidP="00FD2AD4">
      <w:pPr>
        <w:pStyle w:val="Heading2"/>
      </w:pPr>
      <w:r>
        <w:t xml:space="preserve">Jak? </w:t>
      </w:r>
    </w:p>
    <w:p w:rsidR="00BA1151" w:rsidRDefault="00BA1151" w:rsidP="00752A10">
      <w:r>
        <w:t>Polostrukturované rozhovory s dotazy zaslanými dotazovaným v předstihu</w:t>
      </w:r>
    </w:p>
    <w:p w:rsidR="00BA1151" w:rsidRPr="00752A10" w:rsidRDefault="00BA1151" w:rsidP="00FD2AD4">
      <w:pPr>
        <w:pStyle w:val="Heading2"/>
      </w:pPr>
      <w:r>
        <w:t xml:space="preserve">S kým? </w:t>
      </w:r>
    </w:p>
    <w:p w:rsidR="00BA1151" w:rsidRDefault="00BA1151" w:rsidP="00752A10">
      <w:pPr>
        <w:pStyle w:val="ListParagraph"/>
        <w:numPr>
          <w:ilvl w:val="0"/>
          <w:numId w:val="5"/>
        </w:numPr>
      </w:pPr>
      <w:r>
        <w:t>Lidé zodpovědní za poskytování státních služeb zaměstnanosti pro nevidomé a zrakově postižené osoby</w:t>
      </w:r>
    </w:p>
    <w:p w:rsidR="00BA1151" w:rsidRPr="00BA1151" w:rsidRDefault="00BA1151" w:rsidP="00752A10">
      <w:pPr>
        <w:pStyle w:val="ListParagraph"/>
        <w:numPr>
          <w:ilvl w:val="0"/>
          <w:numId w:val="5"/>
        </w:numPr>
      </w:pPr>
      <w:r>
        <w:t>Úřední osoby odpovědné za opatření pracovní aktivizace.</w:t>
      </w:r>
    </w:p>
    <w:p w:rsidR="00BA1151" w:rsidRPr="00BA1151" w:rsidRDefault="00BA1151" w:rsidP="00752A10">
      <w:pPr>
        <w:pStyle w:val="ListParagraph"/>
        <w:numPr>
          <w:ilvl w:val="0"/>
          <w:numId w:val="5"/>
        </w:numPr>
      </w:pPr>
      <w:r>
        <w:t xml:space="preserve">Dobře informovaní pozorovatelé včetně osob z velkých organizacích zastupujících samotné nevidomé </w:t>
      </w:r>
    </w:p>
    <w:p w:rsidR="00BA1151" w:rsidRDefault="0012521C" w:rsidP="00752A10">
      <w:r>
        <w:rPr>
          <w:b/>
        </w:rPr>
        <w:t>Tip:</w:t>
      </w:r>
      <w:r>
        <w:t xml:space="preserve"> Členové EBU poskytují cennou pomoc při hledání klíčových kontaktů k rozhovorům. </w:t>
      </w:r>
    </w:p>
    <w:p w:rsidR="00BA1151" w:rsidRDefault="0012521C" w:rsidP="00752A10">
      <w:r>
        <w:rPr>
          <w:b/>
        </w:rPr>
        <w:t>Důležité:</w:t>
      </w:r>
      <w:r>
        <w:t xml:space="preserve"> Každému byla poskytnuta záruka anonymity – žádný zanechaný komentář nebude možné přisoudit konkrétní osobě.</w:t>
      </w:r>
    </w:p>
    <w:p w:rsidR="00BA1151" w:rsidRPr="00752A10" w:rsidRDefault="008B6775" w:rsidP="00FD2AD4">
      <w:pPr>
        <w:pStyle w:val="Heading2"/>
      </w:pPr>
      <w:r>
        <w:t xml:space="preserve">Dotazy, které mají být pokládány </w:t>
      </w:r>
    </w:p>
    <w:p w:rsidR="00203974" w:rsidRDefault="000A5E8F" w:rsidP="00752A10">
      <w:r>
        <w:t>Za účelem zkoumání opatření pracovní aktivizace, služeb podpory zaměstnanosti, a za účelem shromažďování důkazů o skryté většině by Vaše dotazy měly být strukturovány kolem určité skupiny témat, a to následovně:</w:t>
      </w:r>
    </w:p>
    <w:p w:rsidR="00203974" w:rsidRDefault="00203974" w:rsidP="00752A10"/>
    <w:p w:rsidR="00203974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Právní vymezení nevidomosti a/nebo zrakového postižení, které osobu kvalifikuje k přístupu ke zvláštním programům pracovní aktivizace.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 xml:space="preserve">Počet pracujících nevidomých a zrakově postižených lidí, jenž bude rozlišen dle věku, pohlaví a dalších postižení 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Rozsah povolání, ve kterých jsou nevidomí a zrakově postižení lidé zaměstnáni. a to ve spojení s jakýmkoli označením seskupení pod jedním převažujícím povoláním</w:t>
      </w:r>
    </w:p>
    <w:p w:rsidR="00203974" w:rsidRDefault="00203974" w:rsidP="00FD2AD4">
      <w:pPr>
        <w:pStyle w:val="ListNumber"/>
        <w:numPr>
          <w:ilvl w:val="0"/>
          <w:numId w:val="0"/>
        </w:numPr>
        <w:spacing w:after="240"/>
        <w:ind w:left="567"/>
      </w:pPr>
    </w:p>
    <w:p w:rsidR="00EB4FDE" w:rsidRPr="00AC28D9" w:rsidRDefault="00EB4FDE" w:rsidP="00FD2AD4">
      <w:pPr>
        <w:pStyle w:val="ListNumber"/>
        <w:numPr>
          <w:ilvl w:val="0"/>
          <w:numId w:val="0"/>
        </w:numPr>
        <w:spacing w:after="240"/>
        <w:ind w:left="567"/>
      </w:pP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lastRenderedPageBreak/>
        <w:t>Počet nevidomých a/nebo zrakově postižených lidí, kteří si aktivně hledají zaměstnání, jenž bude rozlišen dle věku a pohlaví a dalších postižení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nevidomých a/nebo zrakově postižených lidí, kteří jsou ekonomicky neaktivní, jenž bude rozlišen dle věku a pohlaví a dalších postižení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nevidomých a zrakově postižených lidí v dosahu trhu práce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Počet nevidomých a zrakově postižených lidí mimo dosah trhu práce</w:t>
      </w:r>
    </w:p>
    <w:p w:rsidR="00203974" w:rsidRPr="00AC28D9" w:rsidRDefault="00FD2AD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Typy příspěvků sociálního zabezpečení vyplácených nevidomým a zrakově postiženým ekonomicky neaktivním osobám; tyto typy budou rozlišovat mezi náhradou příjmu a úhradou nákladů postižení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Úroveň uvedeného vyjádřená procentem průměrných ročních výnosů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Programy pracovní aktivizace určené specificky pro nevidomé a zrakově postižené osoby, jež se budou zaměřovat na zaměstnanost v nejběžnějších povoláních a na zaměstnanost ve zvláštních centrech, například chráněných dílnách, sociálních podnicích, sociálních firmách atd.</w:t>
      </w:r>
    </w:p>
    <w:p w:rsidR="00203974" w:rsidRPr="00AC28D9" w:rsidRDefault="00203974" w:rsidP="00FD2AD4">
      <w:pPr>
        <w:pStyle w:val="ListNumber"/>
        <w:tabs>
          <w:tab w:val="clear" w:pos="360"/>
          <w:tab w:val="num" w:pos="567"/>
        </w:tabs>
        <w:spacing w:after="240"/>
        <w:ind w:left="567" w:hanging="567"/>
      </w:pPr>
      <w:r>
        <w:t>Legislativa zaměřená na ovlivňování zaměstnavatelů, aby zaměstnali nevidomé a zrakově postižené osoby, např. kvóty, vyhrazená povolání.</w:t>
      </w:r>
    </w:p>
    <w:p w:rsidR="0012521C" w:rsidRPr="00752A10" w:rsidRDefault="0012521C" w:rsidP="00FD2AD4">
      <w:pPr>
        <w:pStyle w:val="Heading2"/>
      </w:pPr>
      <w:r>
        <w:t>Zajištění, že je zpráva přesná</w:t>
      </w:r>
    </w:p>
    <w:p w:rsidR="0012521C" w:rsidRDefault="0012521C" w:rsidP="00752A10">
      <w:r>
        <w:t xml:space="preserve">Všem účastníkům zašlete návrh zprávy, abyste jim poskytli možnost provést opravy, zaslat dodatečné doklady a komentáře. </w:t>
      </w:r>
    </w:p>
    <w:p w:rsidR="0012521C" w:rsidRDefault="0012521C" w:rsidP="00752A10">
      <w:r>
        <w:t>Tímto způsobem dosáhnete široké shody a vyvážené zprávy o službách zaměstnanosti a jejich vlivu na nevidomé a zrakově postižené lidi a budete schopni nastínit závěry o skryté většině.</w:t>
      </w:r>
    </w:p>
    <w:p w:rsidR="00203974" w:rsidRPr="009023FE" w:rsidRDefault="0012521C" w:rsidP="00752A10">
      <w:r>
        <w:rPr>
          <w:b/>
        </w:rPr>
        <w:t>Důležité:</w:t>
      </w:r>
      <w:r>
        <w:t xml:space="preserve"> Jakékoli zbývající rozdíly v důrazu a příležitostně i interpretace by měly být ve zprávě uvedeny.</w:t>
      </w:r>
    </w:p>
    <w:p w:rsidR="00F52847" w:rsidRDefault="00F52847" w:rsidP="00752A10"/>
    <w:p w:rsidR="0012521C" w:rsidRDefault="0012521C" w:rsidP="00752A10"/>
    <w:p w:rsidR="0012521C" w:rsidRPr="00752A10" w:rsidRDefault="0012521C" w:rsidP="00FD2AD4">
      <w:pPr>
        <w:pStyle w:val="Heading2"/>
      </w:pPr>
      <w:r>
        <w:lastRenderedPageBreak/>
        <w:t>Publikace zprávy o skryté většině</w:t>
      </w:r>
    </w:p>
    <w:p w:rsidR="00BA1151" w:rsidRDefault="00BE5C55" w:rsidP="00752A10">
      <w:r>
        <w:t>EBU bude potěšena, obdrží-li Vaši zprávu, zejména pokud tato zpráva bude poukazovat na dobrou praxi, kterou EBU a její členské organizace budou moci šířit napříč Evropskou unií.</w:t>
      </w:r>
    </w:p>
    <w:p w:rsidR="00BE5C55" w:rsidRDefault="00BE5C55" w:rsidP="00752A10">
      <w:r>
        <w:t>EBU může Vaši zprávu zveřejnit na svých webových stránkách společně se zprávami o Skryté většině:</w:t>
      </w:r>
    </w:p>
    <w:p w:rsidR="00BE5C55" w:rsidRDefault="006F71C3" w:rsidP="00752A10">
      <w:hyperlink r:id="rId9">
        <w:r w:rsidR="00753F30">
          <w:rPr>
            <w:rStyle w:val="Hyperlink"/>
          </w:rPr>
          <w:t>http://www.euroblind.org/working-areas/rehabilitation-vocational-training-and-employment/</w:t>
        </w:r>
      </w:hyperlink>
    </w:p>
    <w:p w:rsidR="00602A42" w:rsidRPr="00752A10" w:rsidRDefault="00602A42" w:rsidP="00FD2AD4">
      <w:pPr>
        <w:pStyle w:val="Heading2"/>
      </w:pPr>
      <w:r>
        <w:t>Použití Vaší zprávy o skryté většině</w:t>
      </w:r>
    </w:p>
    <w:p w:rsidR="00602A42" w:rsidRPr="00602A42" w:rsidRDefault="00602A42" w:rsidP="00752A10">
      <w:r>
        <w:t>Na webových stránkách EBU jsou zveřejněny případové studie, které uvádějí, jak členské státy využily své zprávy o skryté většině pro účely ovlivnění politiky a změně praxe. EBU by uvítala zpětnou vazbu o tom, jak využijete tu Vaši.</w:t>
      </w: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</w:p>
    <w:p w:rsidR="00D816C6" w:rsidRDefault="00D816C6" w:rsidP="00D816C6">
      <w:pPr>
        <w:rPr>
          <w:i/>
          <w:iCs/>
        </w:rPr>
      </w:pPr>
      <w:r>
        <w:rPr>
          <w:i/>
        </w:rPr>
        <w:t xml:space="preserve">Tato příručka vznikla za podpory Programu Evropské unie pro zaměstnanost a sociální solidaritu - PROGRESS (2007 - 2013). </w:t>
      </w:r>
    </w:p>
    <w:p w:rsidR="00D816C6" w:rsidRDefault="00D816C6" w:rsidP="00D816C6">
      <w:pPr>
        <w:spacing w:before="100" w:beforeAutospacing="1" w:after="100" w:afterAutospacing="1"/>
        <w:rPr>
          <w:i/>
          <w:iCs/>
        </w:rPr>
      </w:pPr>
      <w:r>
        <w:rPr>
          <w:i/>
        </w:rPr>
        <w:t xml:space="preserve">Tento program je implementován Evropskou komisí. Bylo stanoveno finančně podpořit implementaci cílů Evropské unie na poli zaměstnanosti, sociálních záležitostí a oblasti rovných příležitostí, a tím přispět k dosažení cílů Strategie Evropa 2020 v těchto oblastech. </w:t>
      </w:r>
    </w:p>
    <w:p w:rsidR="00D816C6" w:rsidRDefault="00D816C6" w:rsidP="00D816C6">
      <w:pPr>
        <w:spacing w:before="100" w:beforeAutospacing="1" w:after="100" w:afterAutospacing="1"/>
        <w:rPr>
          <w:i/>
          <w:iCs/>
        </w:rPr>
      </w:pPr>
      <w:r>
        <w:rPr>
          <w:i/>
        </w:rPr>
        <w:t>Tento sedmiletý Program je zacílen na všechny zainteresované osoby, které mohou pomoci formovat rozvoj vhodné a efektivní legislativy a politik v oblasti zaměstnanosti a sociálních záležitostí napříč 27 státy EU, EZVO-EHP a kandidátskými zeměmi EU a potenciálními kandidátskými zeměmi EU.</w:t>
      </w:r>
    </w:p>
    <w:p w:rsidR="00D816C6" w:rsidRDefault="00D816C6" w:rsidP="00D816C6">
      <w:pPr>
        <w:rPr>
          <w:i/>
          <w:iCs/>
        </w:rPr>
      </w:pPr>
      <w:r>
        <w:rPr>
          <w:i/>
        </w:rPr>
        <w:t xml:space="preserve">Více informací naleznete na:  </w:t>
      </w:r>
      <w:hyperlink r:id="rId10">
        <w:r>
          <w:rPr>
            <w:rStyle w:val="Hyperlink"/>
            <w:i/>
          </w:rPr>
          <w:t>http://ec.europa.eu/progress</w:t>
        </w:r>
      </w:hyperlink>
    </w:p>
    <w:p w:rsidR="00D816C6" w:rsidRDefault="00D816C6" w:rsidP="00D816C6">
      <w:pPr>
        <w:rPr>
          <w:i/>
          <w:iCs/>
        </w:rPr>
      </w:pPr>
    </w:p>
    <w:p w:rsidR="00BA1151" w:rsidRDefault="00D816C6" w:rsidP="00D816C6">
      <w:pPr>
        <w:spacing w:after="0"/>
        <w:jc w:val="left"/>
      </w:pPr>
      <w:r>
        <w:rPr>
          <w:i/>
        </w:rPr>
        <w:t>Informace obsažené v této publikaci nutně neodrážejí postoj nebo názor Evropské komise.</w:t>
      </w:r>
    </w:p>
    <w:sectPr w:rsidR="00BA1151" w:rsidSect="00D816C6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F30" w:rsidRDefault="00753F30" w:rsidP="00752A10">
      <w:r>
        <w:separator/>
      </w:r>
    </w:p>
  </w:endnote>
  <w:endnote w:type="continuationSeparator" w:id="0">
    <w:p w:rsidR="00753F30" w:rsidRDefault="00753F30" w:rsidP="007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F30" w:rsidRDefault="00753F30" w:rsidP="00752A10">
      <w:r>
        <w:separator/>
      </w:r>
    </w:p>
  </w:footnote>
  <w:footnote w:type="continuationSeparator" w:id="0">
    <w:p w:rsidR="00753F30" w:rsidRDefault="00753F30" w:rsidP="007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1A690B"/>
    <w:multiLevelType w:val="hybridMultilevel"/>
    <w:tmpl w:val="7D2A4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4460B3"/>
    <w:multiLevelType w:val="multilevel"/>
    <w:tmpl w:val="CE8E92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ED3F49"/>
    <w:multiLevelType w:val="hybridMultilevel"/>
    <w:tmpl w:val="3982B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03974"/>
    <w:rsid w:val="000A5E8F"/>
    <w:rsid w:val="0012521C"/>
    <w:rsid w:val="00140462"/>
    <w:rsid w:val="00203974"/>
    <w:rsid w:val="00353796"/>
    <w:rsid w:val="00413E04"/>
    <w:rsid w:val="0045727A"/>
    <w:rsid w:val="00497181"/>
    <w:rsid w:val="00544DBE"/>
    <w:rsid w:val="005C7960"/>
    <w:rsid w:val="00602A42"/>
    <w:rsid w:val="00617685"/>
    <w:rsid w:val="0066549B"/>
    <w:rsid w:val="006934E8"/>
    <w:rsid w:val="006F71C3"/>
    <w:rsid w:val="00752A10"/>
    <w:rsid w:val="00753F30"/>
    <w:rsid w:val="00873A1B"/>
    <w:rsid w:val="008B6775"/>
    <w:rsid w:val="00B513F8"/>
    <w:rsid w:val="00BA1151"/>
    <w:rsid w:val="00BD3A06"/>
    <w:rsid w:val="00BE5C55"/>
    <w:rsid w:val="00C213FD"/>
    <w:rsid w:val="00D434D2"/>
    <w:rsid w:val="00D455FF"/>
    <w:rsid w:val="00D816C6"/>
    <w:rsid w:val="00EB4FDE"/>
    <w:rsid w:val="00F52847"/>
    <w:rsid w:val="00FD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A10"/>
    <w:pPr>
      <w:spacing w:after="120"/>
      <w:jc w:val="both"/>
    </w:pPr>
    <w:rPr>
      <w:rFonts w:ascii="Arial" w:hAnsi="Arial" w:cs="Arial"/>
      <w:sz w:val="28"/>
      <w:szCs w:val="28"/>
    </w:rPr>
  </w:style>
  <w:style w:type="paragraph" w:styleId="Heading1">
    <w:name w:val="heading 1"/>
    <w:basedOn w:val="Heading2"/>
    <w:next w:val="Normal"/>
    <w:qFormat/>
    <w:rsid w:val="00752A10"/>
    <w:pPr>
      <w:numPr>
        <w:ilvl w:val="0"/>
      </w:numPr>
      <w:spacing w:before="600" w:after="360"/>
      <w:ind w:left="357" w:hanging="357"/>
      <w:outlineLvl w:val="0"/>
    </w:pPr>
    <w:rPr>
      <w:sz w:val="36"/>
      <w:szCs w:val="36"/>
    </w:rPr>
  </w:style>
  <w:style w:type="paragraph" w:styleId="Heading2">
    <w:name w:val="heading 2"/>
    <w:basedOn w:val="Heading3"/>
    <w:next w:val="Normal"/>
    <w:qFormat/>
    <w:rsid w:val="00FD2AD4"/>
    <w:pPr>
      <w:numPr>
        <w:ilvl w:val="1"/>
        <w:numId w:val="6"/>
      </w:numPr>
      <w:tabs>
        <w:tab w:val="left" w:pos="1134"/>
      </w:tabs>
      <w:spacing w:before="480" w:after="240"/>
      <w:ind w:left="788" w:hanging="431"/>
      <w:outlineLvl w:val="1"/>
    </w:p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Title">
    <w:name w:val="Title"/>
    <w:basedOn w:val="Normal"/>
    <w:next w:val="Normal"/>
    <w:qFormat/>
    <w:rsid w:val="00752A10"/>
    <w:pPr>
      <w:keepNext/>
      <w:spacing w:before="240" w:after="60"/>
      <w:jc w:val="center"/>
      <w:outlineLvl w:val="0"/>
    </w:pPr>
    <w:rPr>
      <w:b/>
      <w:bCs/>
      <w:kern w:val="28"/>
      <w:sz w:val="40"/>
      <w:szCs w:val="40"/>
    </w:rPr>
  </w:style>
  <w:style w:type="paragraph" w:styleId="Subtitle">
    <w:name w:val="Subtitle"/>
    <w:basedOn w:val="Normal"/>
    <w:next w:val="Normal"/>
    <w:qFormat/>
    <w:rsid w:val="00F52847"/>
    <w:pPr>
      <w:keepNext/>
      <w:spacing w:before="60" w:after="60"/>
      <w:jc w:val="center"/>
    </w:pPr>
    <w:rPr>
      <w:b/>
      <w:sz w:val="40"/>
    </w:rPr>
  </w:style>
  <w:style w:type="paragraph" w:styleId="Quote">
    <w:name w:val="Quote"/>
    <w:basedOn w:val="Normal"/>
    <w:qFormat/>
    <w:rsid w:val="00617685"/>
    <w:pPr>
      <w:ind w:left="794" w:right="794"/>
    </w:pPr>
  </w:style>
  <w:style w:type="paragraph" w:styleId="Caption">
    <w:name w:val="caption"/>
    <w:basedOn w:val="Normal"/>
    <w:next w:val="Normal"/>
    <w:qFormat/>
    <w:rsid w:val="00F52847"/>
    <w:rPr>
      <w:b/>
      <w:bCs/>
      <w:sz w:val="20"/>
    </w:rPr>
  </w:style>
  <w:style w:type="paragraph" w:styleId="ListBullet">
    <w:name w:val="List Bullet"/>
    <w:basedOn w:val="Normal"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link w:val="ListNumberChar"/>
    <w:rsid w:val="00617685"/>
    <w:pPr>
      <w:numPr>
        <w:numId w:val="2"/>
      </w:numPr>
      <w:tabs>
        <w:tab w:val="left" w:pos="851"/>
      </w:tabs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customStyle="1" w:styleId="Style2">
    <w:name w:val="Style2"/>
    <w:basedOn w:val="Normal"/>
    <w:rsid w:val="006934E8"/>
    <w:rPr>
      <w:b/>
      <w:sz w:val="32"/>
    </w:rPr>
  </w:style>
  <w:style w:type="paragraph" w:customStyle="1" w:styleId="Heading11">
    <w:name w:val="Heading 11"/>
    <w:basedOn w:val="Normal"/>
    <w:autoRedefine/>
    <w:rsid w:val="006934E8"/>
    <w:rPr>
      <w:b/>
      <w:sz w:val="32"/>
    </w:rPr>
  </w:style>
  <w:style w:type="character" w:customStyle="1" w:styleId="ListNumberChar">
    <w:name w:val="List Number Char"/>
    <w:basedOn w:val="DefaultParagraphFont"/>
    <w:link w:val="ListNumber"/>
    <w:rsid w:val="00203974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203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974"/>
    <w:rPr>
      <w:rFonts w:ascii="Arial" w:hAnsi="Arial"/>
      <w:sz w:val="28"/>
    </w:rPr>
  </w:style>
  <w:style w:type="paragraph" w:styleId="Footer">
    <w:name w:val="footer"/>
    <w:basedOn w:val="Normal"/>
    <w:link w:val="FooterChar"/>
    <w:rsid w:val="00203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3974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rsid w:val="00140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4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151"/>
    <w:pPr>
      <w:ind w:left="720"/>
      <w:contextualSpacing/>
    </w:pPr>
  </w:style>
  <w:style w:type="character" w:styleId="Hyperlink">
    <w:name w:val="Hyperlink"/>
    <w:basedOn w:val="DefaultParagraphFont"/>
    <w:rsid w:val="005C7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.europa.eu/progr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blind.org/working-areas/rehabilitation-vocational-training-and-employ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5152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RNIB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PSimkiss</dc:creator>
  <cp:lastModifiedBy>ETLS</cp:lastModifiedBy>
  <cp:revision>3</cp:revision>
  <dcterms:created xsi:type="dcterms:W3CDTF">2013-11-21T20:37:00Z</dcterms:created>
  <dcterms:modified xsi:type="dcterms:W3CDTF">2013-11-21T21:25:00Z</dcterms:modified>
</cp:coreProperties>
</file>