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6C" w:rsidRDefault="00B3346C" w:rsidP="00B3346C">
      <w:pPr>
        <w:pStyle w:val="Header"/>
      </w:pPr>
    </w:p>
    <w:p w:rsidR="00B3346C" w:rsidRDefault="00B3346C" w:rsidP="00B3346C">
      <w:pPr>
        <w:pStyle w:val="Header"/>
      </w:pPr>
    </w:p>
    <w:p w:rsidR="00B3346C" w:rsidRDefault="00B3346C" w:rsidP="00B3346C"/>
    <w:p w:rsidR="00B3346C" w:rsidRDefault="00B3346C" w:rsidP="00B3346C"/>
    <w:p w:rsidR="00B3346C" w:rsidRPr="00752A10" w:rsidRDefault="00B3346C" w:rsidP="00B3346C">
      <w:pPr>
        <w:pStyle w:val="Title"/>
      </w:pPr>
      <w:r>
        <w:t>NÄHTAMATU ENAMUS – teatmik</w:t>
      </w:r>
    </w:p>
    <w:p w:rsidR="00B3346C" w:rsidRDefault="00B3346C" w:rsidP="00B3346C"/>
    <w:p w:rsidR="00B3346C" w:rsidRPr="00752A10" w:rsidRDefault="00B3346C" w:rsidP="00B3346C">
      <w:pPr>
        <w:pStyle w:val="Subtitle"/>
      </w:pPr>
      <w:r>
        <w:t xml:space="preserve">Ülevaade pimedate </w:t>
      </w:r>
      <w:proofErr w:type="gramStart"/>
      <w:r>
        <w:t>ja</w:t>
      </w:r>
      <w:proofErr w:type="gramEnd"/>
      <w:r>
        <w:t xml:space="preserve"> nägemispuudega inimeste majanduslikust passiivsusest</w:t>
      </w:r>
    </w:p>
    <w:p w:rsidR="00B3346C" w:rsidRPr="00752A10" w:rsidRDefault="00B3346C" w:rsidP="00B3346C">
      <w:pPr>
        <w:jc w:val="center"/>
        <w:rPr>
          <w:sz w:val="32"/>
          <w:szCs w:val="32"/>
        </w:rPr>
      </w:pPr>
    </w:p>
    <w:p w:rsidR="00B3346C" w:rsidRPr="00752A10" w:rsidRDefault="00B3346C" w:rsidP="00B3346C">
      <w:pPr>
        <w:jc w:val="center"/>
        <w:rPr>
          <w:sz w:val="32"/>
          <w:szCs w:val="32"/>
        </w:rPr>
      </w:pPr>
    </w:p>
    <w:p w:rsidR="00B3346C" w:rsidRPr="00752A10" w:rsidRDefault="00B3346C" w:rsidP="00B3346C">
      <w:pPr>
        <w:jc w:val="center"/>
        <w:rPr>
          <w:sz w:val="32"/>
          <w:szCs w:val="32"/>
        </w:rPr>
      </w:pPr>
    </w:p>
    <w:p w:rsidR="00B3346C" w:rsidRPr="00752A10" w:rsidRDefault="00B3346C" w:rsidP="00B3346C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Koostanud</w:t>
      </w:r>
      <w:proofErr w:type="spellEnd"/>
      <w:r>
        <w:rPr>
          <w:b/>
          <w:sz w:val="32"/>
          <w:szCs w:val="32"/>
        </w:rPr>
        <w:t>:</w:t>
      </w:r>
    </w:p>
    <w:p w:rsidR="00B3346C" w:rsidRPr="00752A10" w:rsidRDefault="00B3346C" w:rsidP="00B334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Philippa Simkiss </w:t>
      </w:r>
      <w:proofErr w:type="gramStart"/>
      <w:r>
        <w:rPr>
          <w:b/>
          <w:sz w:val="32"/>
          <w:szCs w:val="32"/>
        </w:rPr>
        <w:t>ja</w:t>
      </w:r>
      <w:proofErr w:type="gramEnd"/>
      <w:r>
        <w:rPr>
          <w:b/>
          <w:sz w:val="32"/>
          <w:szCs w:val="32"/>
        </w:rPr>
        <w:t xml:space="preserve"> Fred Reid</w:t>
      </w:r>
    </w:p>
    <w:p w:rsidR="00B3346C" w:rsidRPr="00752A10" w:rsidRDefault="00B3346C" w:rsidP="00B3346C">
      <w:pPr>
        <w:jc w:val="center"/>
        <w:rPr>
          <w:b/>
          <w:sz w:val="32"/>
          <w:szCs w:val="32"/>
        </w:rPr>
      </w:pPr>
    </w:p>
    <w:p w:rsidR="00B3346C" w:rsidRPr="00752A10" w:rsidRDefault="00B3346C" w:rsidP="00B334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2013</w:t>
      </w:r>
    </w:p>
    <w:p w:rsidR="00B3346C" w:rsidRPr="00902373" w:rsidRDefault="00B3346C" w:rsidP="00B3346C"/>
    <w:p w:rsidR="00B3346C" w:rsidRPr="00902373" w:rsidRDefault="00B3346C" w:rsidP="00B3346C"/>
    <w:p w:rsidR="00B3346C" w:rsidRPr="00203974" w:rsidRDefault="00E03F01" w:rsidP="00B3346C">
      <w:r>
        <w:pict>
          <v:group id="_x0000_s1026" style="position:absolute;left:0;text-align:left;margin-left:0;margin-top:106.95pt;width:594.65pt;height:118.65pt;z-index:251657728;mso-position-horizontal:center;mso-position-horizontal-relative:margin" coordorigin="94,11795" coordsize="11893,23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Logo RNIB supporting blind and partially sighted people&#10;Registered charity number 226227" style="position:absolute;left:94;top:11795;width:11893;height:2373;mso-position-horizontal-relative:page;mso-position-vertical-relative:page">
              <v:imagedata r:id="rId7" o:title="Layout 1_Page 1 copy"/>
            </v:shape>
            <v:shape id="_x0000_s1028" type="#_x0000_t75" style="position:absolute;left:7023;top:12123;width:4338;height:1589;mso-position-horizontal-relative:margin" wrapcoords="-66 0 -66 21420 21600 21420 21600 0 -66 0">
              <v:imagedata r:id="rId8" o:title="EBU_logo_rvb"/>
            </v:shape>
            <w10:wrap anchorx="margin"/>
          </v:group>
        </w:pict>
      </w:r>
      <w:r w:rsidR="00B3346C">
        <w:br w:type="page"/>
      </w:r>
    </w:p>
    <w:p w:rsidR="00B3346C" w:rsidRPr="00752A10" w:rsidRDefault="00B3346C" w:rsidP="00B3346C">
      <w:pPr>
        <w:pStyle w:val="Heading1"/>
      </w:pPr>
      <w:proofErr w:type="gramStart"/>
      <w:r>
        <w:t>Kes on nähtamatu enamus?</w:t>
      </w:r>
      <w:proofErr w:type="gramEnd"/>
    </w:p>
    <w:p w:rsidR="00B3346C" w:rsidRPr="00752A10" w:rsidRDefault="00B3346C" w:rsidP="00B3346C">
      <w:r>
        <w:t xml:space="preserve">Need, kes käivad tööl, või on küll töötud, </w:t>
      </w:r>
      <w:proofErr w:type="gramStart"/>
      <w:r>
        <w:t>ent</w:t>
      </w:r>
      <w:proofErr w:type="gramEnd"/>
      <w:r>
        <w:t xml:space="preserve"> otsivad aktiivselt tööd, on majanduslikult aktiivsed inimesed. </w:t>
      </w:r>
      <w:proofErr w:type="gramStart"/>
      <w:r>
        <w:t>Kõik ülejäänud on majanduslikult passiivsed.</w:t>
      </w:r>
      <w:proofErr w:type="gramEnd"/>
    </w:p>
    <w:p w:rsidR="00B3346C" w:rsidRDefault="00B3346C" w:rsidP="00B3346C">
      <w:r>
        <w:t xml:space="preserve">Pimedad ja nägemispuudega inimesed töötavad kogu ELis erinevates ametites, kuid EBU-le (Euroopa Pimedate Liit) on kogunenud tõendeid selle kohta, et selle rühma majanduslik passiivsus Euroopa Liidu liikmesriikides on suur, ulatudes 40 kuni 80 protsendini.  EBU on </w:t>
      </w:r>
      <w:proofErr w:type="spellStart"/>
      <w:r>
        <w:t>tellinud</w:t>
      </w:r>
      <w:proofErr w:type="spellEnd"/>
      <w:r>
        <w:t xml:space="preserve"> </w:t>
      </w:r>
      <w:proofErr w:type="spellStart"/>
      <w:r>
        <w:t>mitmeid</w:t>
      </w:r>
      <w:proofErr w:type="spellEnd"/>
      <w:r>
        <w:t xml:space="preserve"> </w:t>
      </w:r>
      <w:proofErr w:type="spellStart"/>
      <w:r>
        <w:t>põhjalikke</w:t>
      </w:r>
      <w:proofErr w:type="spellEnd"/>
      <w:r>
        <w:t xml:space="preserve"> </w:t>
      </w:r>
      <w:proofErr w:type="spellStart"/>
      <w:r>
        <w:t>aruandeid</w:t>
      </w:r>
      <w:proofErr w:type="spellEnd"/>
      <w:r>
        <w:t xml:space="preserve">, saades selleks toetust ühenduse tööhõive </w:t>
      </w:r>
      <w:proofErr w:type="gramStart"/>
      <w:r>
        <w:t>ja</w:t>
      </w:r>
      <w:proofErr w:type="gramEnd"/>
      <w:r>
        <w:t xml:space="preserve"> sotsiaalse solidaarsuse programmilt „Progress” ja organisatsioonilt Royal National Institute of Blind People.</w:t>
      </w:r>
    </w:p>
    <w:p w:rsidR="00B3346C" w:rsidRPr="0029379A" w:rsidRDefault="00B3346C" w:rsidP="00B3346C">
      <w:r>
        <w:t xml:space="preserve">Need aruanded, mis on saadaval EBU veebilehel, tõendavad, </w:t>
      </w:r>
      <w:proofErr w:type="gramStart"/>
      <w:r>
        <w:t>et</w:t>
      </w:r>
      <w:proofErr w:type="gramEnd"/>
      <w:r>
        <w:t xml:space="preserve"> kogu Euroopa Liidus tervikuna moodustavad sellesse gruppi kuuluvad passiivsed pimedad ja nägemispuudega inimesed „nähtamatu enamuse”.</w:t>
      </w:r>
    </w:p>
    <w:p w:rsidR="00B3346C" w:rsidRPr="003E149A" w:rsidRDefault="00B3346C" w:rsidP="00B3346C">
      <w:pPr>
        <w:pStyle w:val="Heading1"/>
        <w:rPr>
          <w:lang w:val="fr-FR"/>
        </w:rPr>
      </w:pPr>
      <w:proofErr w:type="spellStart"/>
      <w:r w:rsidRPr="003E149A">
        <w:rPr>
          <w:lang w:val="fr-FR"/>
        </w:rPr>
        <w:t>Kellel</w:t>
      </w:r>
      <w:proofErr w:type="spellEnd"/>
      <w:r w:rsidRPr="003E149A">
        <w:rPr>
          <w:lang w:val="fr-FR"/>
        </w:rPr>
        <w:t xml:space="preserve"> on </w:t>
      </w:r>
      <w:proofErr w:type="spellStart"/>
      <w:r w:rsidRPr="003E149A">
        <w:rPr>
          <w:lang w:val="fr-FR"/>
        </w:rPr>
        <w:t>vaja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teada</w:t>
      </w:r>
      <w:proofErr w:type="spellEnd"/>
      <w:r w:rsidRPr="003E149A">
        <w:rPr>
          <w:lang w:val="fr-FR"/>
        </w:rPr>
        <w:t xml:space="preserve">, et </w:t>
      </w:r>
      <w:proofErr w:type="spellStart"/>
      <w:r w:rsidRPr="003E149A">
        <w:rPr>
          <w:lang w:val="fr-FR"/>
        </w:rPr>
        <w:t>meie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keskel</w:t>
      </w:r>
      <w:proofErr w:type="spellEnd"/>
      <w:r w:rsidRPr="003E149A">
        <w:rPr>
          <w:lang w:val="fr-FR"/>
        </w:rPr>
        <w:t xml:space="preserve"> on </w:t>
      </w:r>
      <w:proofErr w:type="spellStart"/>
      <w:r w:rsidRPr="003E149A">
        <w:rPr>
          <w:lang w:val="fr-FR"/>
        </w:rPr>
        <w:t>nähtamatu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enamus</w:t>
      </w:r>
      <w:proofErr w:type="spellEnd"/>
      <w:r w:rsidRPr="003E149A">
        <w:rPr>
          <w:lang w:val="fr-FR"/>
        </w:rPr>
        <w:t>?</w:t>
      </w:r>
    </w:p>
    <w:p w:rsidR="00B3346C" w:rsidRPr="003E149A" w:rsidRDefault="00B3346C" w:rsidP="00B3346C">
      <w:pPr>
        <w:rPr>
          <w:lang w:val="fr-FR"/>
        </w:rPr>
      </w:pPr>
      <w:proofErr w:type="spellStart"/>
      <w:r w:rsidRPr="003E149A">
        <w:rPr>
          <w:lang w:val="fr-FR"/>
        </w:rPr>
        <w:t>Kuna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see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grupp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moodustab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suurima</w:t>
      </w:r>
      <w:proofErr w:type="spellEnd"/>
      <w:r w:rsidRPr="003E149A">
        <w:rPr>
          <w:lang w:val="fr-FR"/>
        </w:rPr>
        <w:t xml:space="preserve"> osa </w:t>
      </w:r>
      <w:proofErr w:type="spellStart"/>
      <w:r w:rsidRPr="003E149A">
        <w:rPr>
          <w:lang w:val="fr-FR"/>
        </w:rPr>
        <w:t>tööealistest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pimedatest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ja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nägemispuudega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inimestest</w:t>
      </w:r>
      <w:proofErr w:type="spellEnd"/>
      <w:r w:rsidRPr="003E149A">
        <w:rPr>
          <w:lang w:val="fr-FR"/>
        </w:rPr>
        <w:t xml:space="preserve">, </w:t>
      </w:r>
      <w:proofErr w:type="spellStart"/>
      <w:r w:rsidRPr="003E149A">
        <w:rPr>
          <w:lang w:val="fr-FR"/>
        </w:rPr>
        <w:t>siis</w:t>
      </w:r>
      <w:proofErr w:type="spellEnd"/>
      <w:r w:rsidRPr="003E149A">
        <w:rPr>
          <w:lang w:val="fr-FR"/>
        </w:rPr>
        <w:t xml:space="preserve"> on </w:t>
      </w:r>
      <w:proofErr w:type="spellStart"/>
      <w:r w:rsidRPr="003E149A">
        <w:rPr>
          <w:lang w:val="fr-FR"/>
        </w:rPr>
        <w:t>oluline</w:t>
      </w:r>
      <w:proofErr w:type="spellEnd"/>
      <w:r w:rsidRPr="003E149A">
        <w:rPr>
          <w:lang w:val="fr-FR"/>
        </w:rPr>
        <w:t xml:space="preserve">, et </w:t>
      </w:r>
      <w:proofErr w:type="spellStart"/>
      <w:r w:rsidRPr="003E149A">
        <w:rPr>
          <w:lang w:val="fr-FR"/>
        </w:rPr>
        <w:t>poliitikud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ja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teenusepakkujad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mõistaksid</w:t>
      </w:r>
      <w:proofErr w:type="spellEnd"/>
      <w:r w:rsidRPr="003E149A">
        <w:rPr>
          <w:lang w:val="fr-FR"/>
        </w:rPr>
        <w:t xml:space="preserve">, </w:t>
      </w:r>
      <w:proofErr w:type="spellStart"/>
      <w:r w:rsidRPr="003E149A">
        <w:rPr>
          <w:lang w:val="fr-FR"/>
        </w:rPr>
        <w:t>kuidas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kaasata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majanduslikult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passiivseid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pimedaid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ja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nägemispuudega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inimesi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ja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kuidas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kohandada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õigusaktide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sätteid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nii</w:t>
      </w:r>
      <w:proofErr w:type="spellEnd"/>
      <w:r w:rsidRPr="003E149A">
        <w:rPr>
          <w:lang w:val="fr-FR"/>
        </w:rPr>
        <w:t xml:space="preserve">, et </w:t>
      </w:r>
      <w:proofErr w:type="spellStart"/>
      <w:r w:rsidRPr="003E149A">
        <w:rPr>
          <w:lang w:val="fr-FR"/>
        </w:rPr>
        <w:t>need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rahuldaksid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nende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vajadusi</w:t>
      </w:r>
      <w:proofErr w:type="spellEnd"/>
      <w:r w:rsidRPr="003E149A">
        <w:rPr>
          <w:lang w:val="fr-FR"/>
        </w:rPr>
        <w:t xml:space="preserve">. </w:t>
      </w:r>
    </w:p>
    <w:p w:rsidR="00B3346C" w:rsidRPr="003E149A" w:rsidRDefault="00B3346C" w:rsidP="00B3346C">
      <w:pPr>
        <w:rPr>
          <w:lang w:val="fr-FR"/>
        </w:rPr>
      </w:pPr>
      <w:r w:rsidRPr="003E149A">
        <w:rPr>
          <w:lang w:val="fr-FR"/>
        </w:rPr>
        <w:t xml:space="preserve">EBU </w:t>
      </w:r>
      <w:proofErr w:type="spellStart"/>
      <w:r w:rsidRPr="003E149A">
        <w:rPr>
          <w:lang w:val="fr-FR"/>
        </w:rPr>
        <w:t>liikmed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saavad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kasutada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andmeid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tööealiste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passiivsete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pimedate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ja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nägemispuudega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inimeste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määra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kohta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oma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töös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pimedatele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ja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nägemispuudega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inimestele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mõeldud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teenuste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kvaliteedi</w:t>
      </w:r>
      <w:proofErr w:type="spellEnd"/>
      <w:r w:rsidRPr="003E149A">
        <w:rPr>
          <w:lang w:val="fr-FR"/>
        </w:rPr>
        <w:t xml:space="preserve"> </w:t>
      </w:r>
      <w:proofErr w:type="spellStart"/>
      <w:r w:rsidRPr="003E149A">
        <w:rPr>
          <w:lang w:val="fr-FR"/>
        </w:rPr>
        <w:t>tagamisel</w:t>
      </w:r>
      <w:proofErr w:type="spellEnd"/>
      <w:r w:rsidRPr="003E149A">
        <w:rPr>
          <w:lang w:val="fr-FR"/>
        </w:rPr>
        <w:t xml:space="preserve">. </w:t>
      </w:r>
    </w:p>
    <w:p w:rsidR="00B3346C" w:rsidRPr="003E149A" w:rsidRDefault="00B3346C" w:rsidP="00B3346C">
      <w:pPr>
        <w:rPr>
          <w:lang w:val="fr-FR"/>
        </w:rPr>
      </w:pPr>
    </w:p>
    <w:p w:rsidR="00B3346C" w:rsidRPr="003E149A" w:rsidRDefault="00B3346C" w:rsidP="00B3346C">
      <w:pPr>
        <w:rPr>
          <w:lang w:val="fr-FR"/>
        </w:rPr>
      </w:pPr>
    </w:p>
    <w:p w:rsidR="00B3346C" w:rsidRDefault="00B3346C" w:rsidP="00B3346C">
      <w:pPr>
        <w:pStyle w:val="Heading1"/>
      </w:pPr>
      <w:proofErr w:type="spellStart"/>
      <w:r>
        <w:lastRenderedPageBreak/>
        <w:t>Kohtumine</w:t>
      </w:r>
      <w:proofErr w:type="spellEnd"/>
      <w:r>
        <w:t xml:space="preserve"> </w:t>
      </w:r>
      <w:proofErr w:type="spellStart"/>
      <w:r>
        <w:t>nähtamatu</w:t>
      </w:r>
      <w:proofErr w:type="spellEnd"/>
      <w:r>
        <w:t xml:space="preserve"> </w:t>
      </w:r>
      <w:proofErr w:type="spellStart"/>
      <w:r>
        <w:t>enamusega</w:t>
      </w:r>
      <w:proofErr w:type="spellEnd"/>
    </w:p>
    <w:p w:rsidR="00B3346C" w:rsidRPr="00752A10" w:rsidRDefault="00B3346C" w:rsidP="00B3346C">
      <w:pPr>
        <w:pStyle w:val="Heading2"/>
      </w:pPr>
      <w:proofErr w:type="gramStart"/>
      <w:r>
        <w:t>Kuidas?</w:t>
      </w:r>
      <w:proofErr w:type="gramEnd"/>
      <w:r>
        <w:t xml:space="preserve"> </w:t>
      </w:r>
    </w:p>
    <w:p w:rsidR="00B3346C" w:rsidRDefault="00B3346C" w:rsidP="00B3346C">
      <w:r>
        <w:t>Küsimuste vormis eelstruktureeritud intervjuud saadeti eelnevalt intervjueeritavatele</w:t>
      </w:r>
    </w:p>
    <w:p w:rsidR="00B3346C" w:rsidRPr="00752A10" w:rsidRDefault="00B3346C" w:rsidP="00B3346C">
      <w:pPr>
        <w:pStyle w:val="Heading2"/>
      </w:pPr>
      <w:proofErr w:type="gramStart"/>
      <w:r>
        <w:t>Kellega?</w:t>
      </w:r>
      <w:proofErr w:type="gramEnd"/>
      <w:r>
        <w:t xml:space="preserve"> </w:t>
      </w:r>
    </w:p>
    <w:p w:rsidR="00B3346C" w:rsidRDefault="00B3346C" w:rsidP="00B3346C">
      <w:pPr>
        <w:pStyle w:val="ListParagraph"/>
        <w:numPr>
          <w:ilvl w:val="0"/>
          <w:numId w:val="5"/>
        </w:numPr>
      </w:pPr>
      <w:r>
        <w:t xml:space="preserve">Inimesed, kes vastutavad riigi tööhõiveametis pimedate </w:t>
      </w:r>
      <w:proofErr w:type="gramStart"/>
      <w:r>
        <w:t>ja</w:t>
      </w:r>
      <w:proofErr w:type="gramEnd"/>
      <w:r>
        <w:t xml:space="preserve"> nägemispuudega inimeste tööhõive eest.</w:t>
      </w:r>
    </w:p>
    <w:p w:rsidR="00B3346C" w:rsidRPr="00BA1151" w:rsidRDefault="00B3346C" w:rsidP="00B3346C">
      <w:pPr>
        <w:pStyle w:val="ListParagraph"/>
        <w:numPr>
          <w:ilvl w:val="0"/>
          <w:numId w:val="5"/>
        </w:numPr>
      </w:pPr>
      <w:r>
        <w:t>Ametnikud, kes vastutavad tööjõu tööturule tagasitoomise meetmete eest.</w:t>
      </w:r>
    </w:p>
    <w:p w:rsidR="00B3346C" w:rsidRPr="00BA1151" w:rsidRDefault="00B3346C" w:rsidP="00B3346C">
      <w:pPr>
        <w:pStyle w:val="ListParagraph"/>
        <w:numPr>
          <w:ilvl w:val="0"/>
          <w:numId w:val="5"/>
        </w:numPr>
      </w:pPr>
      <w:r>
        <w:t xml:space="preserve">Hästi informeeritud vaatlejad, sealhulgas esindajad suurematest pimedate organisatsioonidest. </w:t>
      </w:r>
    </w:p>
    <w:p w:rsidR="00B3346C" w:rsidRDefault="00B3346C" w:rsidP="00B3346C">
      <w:proofErr w:type="gramStart"/>
      <w:r>
        <w:rPr>
          <w:b/>
        </w:rPr>
        <w:t>Vihje.</w:t>
      </w:r>
      <w:proofErr w:type="gramEnd"/>
      <w:r>
        <w:t xml:space="preserve"> </w:t>
      </w:r>
      <w:proofErr w:type="gramStart"/>
      <w:r>
        <w:t>EBU liikmed andsid väärtuslikku abi intervjuu jaoks võtmekontaktide leidmisel.</w:t>
      </w:r>
      <w:proofErr w:type="gramEnd"/>
      <w:r>
        <w:t xml:space="preserve"> </w:t>
      </w:r>
    </w:p>
    <w:p w:rsidR="00B3346C" w:rsidRDefault="00B3346C" w:rsidP="00B3346C">
      <w:proofErr w:type="gramStart"/>
      <w:r>
        <w:rPr>
          <w:b/>
        </w:rPr>
        <w:t>Tähtis.</w:t>
      </w:r>
      <w:proofErr w:type="gramEnd"/>
      <w:r>
        <w:t xml:space="preserve"> </w:t>
      </w:r>
      <w:proofErr w:type="gramStart"/>
      <w:r>
        <w:t>Kõigile tagati anonüümsus – ühtki märkust ei saa seostada ühegi üksikisikuga.</w:t>
      </w:r>
      <w:proofErr w:type="gramEnd"/>
    </w:p>
    <w:p w:rsidR="00B3346C" w:rsidRPr="00752A10" w:rsidRDefault="00B3346C" w:rsidP="00B3346C">
      <w:pPr>
        <w:pStyle w:val="Heading2"/>
      </w:pPr>
      <w:r>
        <w:t xml:space="preserve">Vastuseid sooviti saada järgmistele küsimustele: </w:t>
      </w:r>
    </w:p>
    <w:p w:rsidR="00B3346C" w:rsidRDefault="00B3346C" w:rsidP="00B3346C">
      <w:r>
        <w:t xml:space="preserve">Tööturu aktiveerimise meetmete, tööhõive tugiteenuste </w:t>
      </w:r>
      <w:proofErr w:type="gramStart"/>
      <w:r>
        <w:t>ja</w:t>
      </w:r>
      <w:proofErr w:type="gramEnd"/>
      <w:r>
        <w:t xml:space="preserve"> tõendite kogumise uurimiseks nähtamatu enamuse kohta tuleb teie küsimused struktureerida terve rea teemade kaupa järgmiselt.</w:t>
      </w:r>
    </w:p>
    <w:p w:rsidR="00B3346C" w:rsidRDefault="00B3346C" w:rsidP="00B3346C"/>
    <w:p w:rsidR="00B3346C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Spetsiaalsetele tööhõive aktiveerimise programmidele juurdepääsu omavaks isikuks kvalifitseeruva pimeda ja/või nägemispuudega inimese legaaldefinitsioon.</w:t>
      </w: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Tööturul osalevate pimedate </w:t>
      </w:r>
      <w:proofErr w:type="gramStart"/>
      <w:r>
        <w:t>ja</w:t>
      </w:r>
      <w:proofErr w:type="gramEnd"/>
      <w:r>
        <w:t xml:space="preserve"> nägemispuudega inimeste arv, jaotatuna vanuse, soo ja lisapuuete järgi.</w:t>
      </w:r>
    </w:p>
    <w:p w:rsidR="00B3346C" w:rsidRPr="00AC28D9" w:rsidRDefault="00C8671E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proofErr w:type="spellStart"/>
      <w:r w:rsidRPr="00C8671E">
        <w:t>Pimedate</w:t>
      </w:r>
      <w:proofErr w:type="spellEnd"/>
      <w:r w:rsidRPr="00C8671E">
        <w:t xml:space="preserve"> </w:t>
      </w:r>
      <w:proofErr w:type="spellStart"/>
      <w:proofErr w:type="gramStart"/>
      <w:r w:rsidRPr="00C8671E">
        <w:t>ja</w:t>
      </w:r>
      <w:proofErr w:type="spellEnd"/>
      <w:proofErr w:type="gramEnd"/>
      <w:r w:rsidRPr="00C8671E">
        <w:t xml:space="preserve"> </w:t>
      </w:r>
      <w:proofErr w:type="spellStart"/>
      <w:r w:rsidRPr="00C8671E">
        <w:t>nägemispuudega</w:t>
      </w:r>
      <w:proofErr w:type="spellEnd"/>
      <w:r w:rsidRPr="00C8671E">
        <w:t xml:space="preserve"> </w:t>
      </w:r>
      <w:proofErr w:type="spellStart"/>
      <w:r w:rsidRPr="00C8671E">
        <w:t>inimesete</w:t>
      </w:r>
      <w:proofErr w:type="spellEnd"/>
      <w:r w:rsidRPr="00C8671E">
        <w:t xml:space="preserve"> </w:t>
      </w:r>
      <w:proofErr w:type="spellStart"/>
      <w:r w:rsidRPr="00C8671E">
        <w:t>elukutsete</w:t>
      </w:r>
      <w:proofErr w:type="spellEnd"/>
      <w:r w:rsidRPr="00C8671E">
        <w:t xml:space="preserve"> </w:t>
      </w:r>
      <w:proofErr w:type="spellStart"/>
      <w:r w:rsidRPr="00C8671E">
        <w:t>valik</w:t>
      </w:r>
      <w:proofErr w:type="spellEnd"/>
      <w:r w:rsidRPr="00C8671E">
        <w:t xml:space="preserve"> </w:t>
      </w:r>
      <w:proofErr w:type="spellStart"/>
      <w:r w:rsidRPr="00C8671E">
        <w:t>koos</w:t>
      </w:r>
      <w:proofErr w:type="spellEnd"/>
      <w:r w:rsidRPr="00C8671E">
        <w:t xml:space="preserve"> </w:t>
      </w:r>
      <w:proofErr w:type="spellStart"/>
      <w:r w:rsidRPr="00C8671E">
        <w:t>ühe</w:t>
      </w:r>
      <w:proofErr w:type="spellEnd"/>
      <w:r w:rsidRPr="00C8671E">
        <w:t xml:space="preserve"> </w:t>
      </w:r>
      <w:proofErr w:type="spellStart"/>
      <w:r w:rsidRPr="00C8671E">
        <w:t>domineeriva</w:t>
      </w:r>
      <w:proofErr w:type="spellEnd"/>
      <w:r w:rsidRPr="00C8671E">
        <w:t xml:space="preserve"> </w:t>
      </w:r>
      <w:proofErr w:type="spellStart"/>
      <w:r w:rsidRPr="00C8671E">
        <w:t>töö</w:t>
      </w:r>
      <w:proofErr w:type="spellEnd"/>
      <w:r w:rsidRPr="00C8671E">
        <w:t xml:space="preserve"> </w:t>
      </w:r>
      <w:proofErr w:type="spellStart"/>
      <w:r w:rsidRPr="00C8671E">
        <w:t>klastri</w:t>
      </w:r>
      <w:proofErr w:type="spellEnd"/>
      <w:r w:rsidRPr="00C8671E">
        <w:t xml:space="preserve"> </w:t>
      </w:r>
      <w:proofErr w:type="spellStart"/>
      <w:r w:rsidRPr="00C8671E">
        <w:t>näitajaga</w:t>
      </w:r>
      <w:proofErr w:type="spellEnd"/>
      <w:r w:rsidRPr="00C8671E">
        <w:t>.</w:t>
      </w:r>
    </w:p>
    <w:p w:rsidR="00B3346C" w:rsidRPr="00AC28D9" w:rsidRDefault="00B3346C" w:rsidP="00B3346C">
      <w:pPr>
        <w:pStyle w:val="ListNumber"/>
        <w:numPr>
          <w:ilvl w:val="0"/>
          <w:numId w:val="0"/>
        </w:numPr>
        <w:spacing w:after="240"/>
        <w:ind w:left="567"/>
      </w:pP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lastRenderedPageBreak/>
        <w:t xml:space="preserve">Aktiivselt tööd otsivate pimedate ja/või nägemispuudega inimeste </w:t>
      </w:r>
      <w:proofErr w:type="gramStart"/>
      <w:r>
        <w:t>arv</w:t>
      </w:r>
      <w:proofErr w:type="gramEnd"/>
      <w:r>
        <w:t>, mis on jaotatud vanuse ja soo ning lisapuuete järgi.</w:t>
      </w: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Majanduslikult aktiivsete pimedate </w:t>
      </w:r>
      <w:proofErr w:type="gramStart"/>
      <w:r>
        <w:t>ja</w:t>
      </w:r>
      <w:proofErr w:type="gramEnd"/>
      <w:r>
        <w:t xml:space="preserve"> nägemispuudega inimeste arv, jaotatuna vanuse, soo ja lisapuude järgi.</w:t>
      </w: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Tööturule lähedaste pimedate </w:t>
      </w:r>
      <w:proofErr w:type="gramStart"/>
      <w:r>
        <w:t>ja</w:t>
      </w:r>
      <w:proofErr w:type="gramEnd"/>
      <w:r>
        <w:t xml:space="preserve"> nägemispuudega inimeste arv.</w:t>
      </w: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Tööturust kaugenenud pimedate </w:t>
      </w:r>
      <w:proofErr w:type="gramStart"/>
      <w:r>
        <w:t>ja</w:t>
      </w:r>
      <w:proofErr w:type="gramEnd"/>
      <w:r>
        <w:t xml:space="preserve"> nägemispuudega inimeste arv.</w:t>
      </w: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Majanduslikult passiivsetele pimedatele </w:t>
      </w:r>
      <w:proofErr w:type="gramStart"/>
      <w:r>
        <w:t>ja</w:t>
      </w:r>
      <w:proofErr w:type="gramEnd"/>
      <w:r>
        <w:t xml:space="preserve"> nägemispuudega inimestele makstavate sotsiaalkindlustuse liigid, eristades sissetulekute kompenseerimist ja puudega seotud kulude hüvitamist.</w:t>
      </w: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Eespool nimetatud hüvitiste määr protsentides keskmisest aastapalgast.</w:t>
      </w: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Tööjõu aktiveerimise programmid, mis on spetsiaalselt mõeldud pimedatele </w:t>
      </w:r>
      <w:proofErr w:type="gramStart"/>
      <w:r>
        <w:t>ja</w:t>
      </w:r>
      <w:proofErr w:type="gramEnd"/>
      <w:r>
        <w:t xml:space="preserve"> nägemispuudega inimestele ning suunatud tööhõivele levinumates ametites ja tööhõivele spetsiaalsetes keskustes, nt eritootmisüksustes, sotsiaalsetes ettevõtetes, sotsiaalsetel tegevusaladel jne.</w:t>
      </w:r>
    </w:p>
    <w:p w:rsidR="00B3346C" w:rsidRPr="00AC28D9" w:rsidRDefault="00B3346C" w:rsidP="00B3346C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Õigusaktid, mille eesmärk on mõjutada tööandjaid võtma tööle pimedad </w:t>
      </w:r>
      <w:proofErr w:type="gramStart"/>
      <w:r>
        <w:t>ja</w:t>
      </w:r>
      <w:proofErr w:type="gramEnd"/>
      <w:r>
        <w:t xml:space="preserve"> nägemispuudega inimesi, näiteks kvoodid ja broneeritud ametikohad.</w:t>
      </w:r>
    </w:p>
    <w:p w:rsidR="00B3346C" w:rsidRPr="00752A10" w:rsidRDefault="00B3346C" w:rsidP="00B3346C">
      <w:pPr>
        <w:pStyle w:val="Heading2"/>
      </w:pPr>
      <w:r>
        <w:t xml:space="preserve">Veenduge, </w:t>
      </w:r>
      <w:proofErr w:type="gramStart"/>
      <w:r>
        <w:t>et</w:t>
      </w:r>
      <w:proofErr w:type="gramEnd"/>
      <w:r>
        <w:t xml:space="preserve"> aruanne on täpne</w:t>
      </w:r>
    </w:p>
    <w:p w:rsidR="00B3346C" w:rsidRDefault="00B3346C" w:rsidP="00B3346C">
      <w:r>
        <w:t xml:space="preserve">Saatke kõigile osalejatele koostatud aruanne selle esialgsel kujul, </w:t>
      </w:r>
      <w:proofErr w:type="gramStart"/>
      <w:r>
        <w:t>et</w:t>
      </w:r>
      <w:proofErr w:type="gramEnd"/>
      <w:r>
        <w:t xml:space="preserve"> anda vastajatele võimalus teha parandusi, saata täiendavat tõendusmaterjali ja lisada kommentaare. </w:t>
      </w:r>
    </w:p>
    <w:p w:rsidR="00B3346C" w:rsidRDefault="00B3346C" w:rsidP="00B3346C">
      <w:r>
        <w:t xml:space="preserve">Nii saavutate laiapõhjalise hinnangu </w:t>
      </w:r>
      <w:proofErr w:type="gramStart"/>
      <w:r>
        <w:t>ja</w:t>
      </w:r>
      <w:proofErr w:type="gramEnd"/>
      <w:r>
        <w:t xml:space="preserve"> tasakaalustatud arvestuse tööhõive teenuste ja teenuste mõju kohta pimedatele ja nägemispuudega inimestele ning saate teha järeldusi nähtamatu enamuse olukorra kohta.</w:t>
      </w:r>
    </w:p>
    <w:p w:rsidR="00B3346C" w:rsidRPr="009023FE" w:rsidRDefault="00B3346C" w:rsidP="00B3346C">
      <w:proofErr w:type="gramStart"/>
      <w:r>
        <w:rPr>
          <w:b/>
        </w:rPr>
        <w:t>Tähtis.</w:t>
      </w:r>
      <w:proofErr w:type="gramEnd"/>
      <w:r>
        <w:t xml:space="preserve"> Kõik rõhuasetuste </w:t>
      </w:r>
      <w:proofErr w:type="gramStart"/>
      <w:r>
        <w:t>ja</w:t>
      </w:r>
      <w:proofErr w:type="gramEnd"/>
      <w:r>
        <w:t xml:space="preserve"> tõlgendamise erinevused tuleb aruandes avalikustada.</w:t>
      </w:r>
    </w:p>
    <w:p w:rsidR="00B3346C" w:rsidRDefault="00B3346C" w:rsidP="00B3346C"/>
    <w:p w:rsidR="00B3346C" w:rsidRDefault="00B3346C" w:rsidP="00B3346C"/>
    <w:p w:rsidR="00B3346C" w:rsidRPr="00752A10" w:rsidRDefault="00B3346C" w:rsidP="00B3346C">
      <w:pPr>
        <w:pStyle w:val="Heading2"/>
      </w:pPr>
      <w:r>
        <w:t>Nähtamatu enamuse aruande avalikustamine</w:t>
      </w:r>
    </w:p>
    <w:p w:rsidR="00B3346C" w:rsidRDefault="00B3346C" w:rsidP="00B3346C">
      <w:r>
        <w:t xml:space="preserve">EBU-l oleks hea meel saada teie aruanne, eriti kui selles kirjeldatakse häid tavasid, mida EBU </w:t>
      </w:r>
      <w:proofErr w:type="gramStart"/>
      <w:r>
        <w:t>ja</w:t>
      </w:r>
      <w:proofErr w:type="gramEnd"/>
      <w:r>
        <w:t xml:space="preserve"> tema liikmesorganisatsioonid võiksid levitada kogu Euroopa Liidus.</w:t>
      </w:r>
    </w:p>
    <w:p w:rsidR="00B3346C" w:rsidRPr="003E149A" w:rsidRDefault="00B3346C" w:rsidP="00B3346C">
      <w:pPr>
        <w:rPr>
          <w:lang w:val="pt-BR"/>
        </w:rPr>
      </w:pPr>
      <w:r w:rsidRPr="003E149A">
        <w:rPr>
          <w:lang w:val="pt-BR"/>
        </w:rPr>
        <w:t>EBU võib teie aruande koos teiste nähtamatu enamuse aruannetega avaldada oma veebilehel:</w:t>
      </w:r>
    </w:p>
    <w:p w:rsidR="00B3346C" w:rsidRPr="003E149A" w:rsidRDefault="00E03F01" w:rsidP="00B3346C">
      <w:pPr>
        <w:rPr>
          <w:lang w:val="pt-BR"/>
        </w:rPr>
      </w:pPr>
      <w:hyperlink r:id="rId9" w:history="1">
        <w:r w:rsidR="00B3346C" w:rsidRPr="003E149A">
          <w:rPr>
            <w:rStyle w:val="Hyperlink"/>
            <w:lang w:val="pt-BR"/>
          </w:rPr>
          <w:t>http://www.euroblind.org/working-areas/rehabilitation-vocational-training-and-employment/</w:t>
        </w:r>
      </w:hyperlink>
    </w:p>
    <w:p w:rsidR="00B3346C" w:rsidRPr="00752A10" w:rsidRDefault="00B3346C" w:rsidP="00B3346C">
      <w:pPr>
        <w:pStyle w:val="Heading2"/>
      </w:pPr>
      <w:r>
        <w:t>Nähtamatu enamuse aruande kasutamine</w:t>
      </w:r>
    </w:p>
    <w:p w:rsidR="00B3346C" w:rsidRPr="00602A42" w:rsidRDefault="00B3346C" w:rsidP="00B3346C">
      <w:r>
        <w:t xml:space="preserve">EBU veebilehel on avaldatud reaalseid näiteid selle kohta, kuidas liikmesriigid on kasutanud oma nähtamatu enamuse aruandeid poliitika mõjutamise </w:t>
      </w:r>
      <w:proofErr w:type="gramStart"/>
      <w:r>
        <w:t>ja</w:t>
      </w:r>
      <w:proofErr w:type="gramEnd"/>
      <w:r>
        <w:t xml:space="preserve"> elutavade muutmise eesmärgil. </w:t>
      </w:r>
      <w:proofErr w:type="gramStart"/>
      <w:r>
        <w:t>EBU kasutaks tagasisidet selle kohta, kuidas teie oma aruannet olete kasutanud.</w:t>
      </w:r>
      <w:proofErr w:type="gramEnd"/>
    </w:p>
    <w:p w:rsidR="00B3346C" w:rsidRDefault="00B3346C" w:rsidP="00B3346C">
      <w:pPr>
        <w:rPr>
          <w:i/>
          <w:iCs/>
        </w:rPr>
      </w:pPr>
    </w:p>
    <w:p w:rsidR="00B3346C" w:rsidRDefault="00B3346C" w:rsidP="00B3346C">
      <w:pPr>
        <w:rPr>
          <w:i/>
          <w:iCs/>
        </w:rPr>
      </w:pPr>
    </w:p>
    <w:p w:rsidR="00B3346C" w:rsidRDefault="00B3346C" w:rsidP="00B3346C">
      <w:pPr>
        <w:rPr>
          <w:i/>
          <w:iCs/>
        </w:rPr>
      </w:pPr>
      <w:r>
        <w:rPr>
          <w:i/>
          <w:iCs/>
        </w:rPr>
        <w:t xml:space="preserve">Selle juhendi koostamist on toetanud Euroopa Liidu tööhõive </w:t>
      </w:r>
      <w:proofErr w:type="gramStart"/>
      <w:r>
        <w:rPr>
          <w:i/>
          <w:iCs/>
        </w:rPr>
        <w:t>ja</w:t>
      </w:r>
      <w:proofErr w:type="gramEnd"/>
      <w:r>
        <w:rPr>
          <w:i/>
          <w:iCs/>
        </w:rPr>
        <w:t xml:space="preserve"> sotsiaalse solidaarsuse programm „PROGRESS” (2007–2013). </w:t>
      </w:r>
    </w:p>
    <w:p w:rsidR="00B3346C" w:rsidRDefault="00B3346C" w:rsidP="00B3346C">
      <w:pPr>
        <w:spacing w:before="100" w:beforeAutospacing="1" w:after="100" w:afterAutospacing="1"/>
        <w:rPr>
          <w:i/>
          <w:iCs/>
        </w:rPr>
      </w:pPr>
      <w:proofErr w:type="gramStart"/>
      <w:r>
        <w:rPr>
          <w:i/>
          <w:iCs/>
        </w:rPr>
        <w:t>Programmi viib ellu Euroopa Komisjon.</w:t>
      </w:r>
      <w:proofErr w:type="gramEnd"/>
      <w:r>
        <w:rPr>
          <w:i/>
          <w:iCs/>
        </w:rPr>
        <w:t xml:space="preserve"> Programm on ellu kutsutud selleks, et toetada rahaliselt Euroopa Liidu tööhõive, sotsiaalküsimuste ja võrdsete võimaluste eesmärke ning aidata seeläbi kaasa Euroopa 2020 strateegia eesmärkide saavutamisele nimetatud valdkondades. </w:t>
      </w:r>
    </w:p>
    <w:p w:rsidR="00B3346C" w:rsidRDefault="00B3346C" w:rsidP="00B3346C">
      <w:p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Seitsmeaastane programm on suunatud kõikidele huvirühmadele, kes aitavad välja töötada asjakohaseid </w:t>
      </w:r>
      <w:proofErr w:type="gramStart"/>
      <w:r>
        <w:rPr>
          <w:i/>
          <w:iCs/>
        </w:rPr>
        <w:t>ja</w:t>
      </w:r>
      <w:proofErr w:type="gramEnd"/>
      <w:r>
        <w:rPr>
          <w:i/>
          <w:iCs/>
        </w:rPr>
        <w:t xml:space="preserve"> tõhusaid tööhõive ja sotsiaalvaldkonna õigusakte ja poliitikat EL-27 ja EFTA riikides ning Euroopa Liidu kandidaatriikides ja potentsiaalsetes kandidaatriikides.</w:t>
      </w:r>
    </w:p>
    <w:p w:rsidR="00B3346C" w:rsidRPr="003E149A" w:rsidRDefault="00B3346C" w:rsidP="00B3346C">
      <w:pPr>
        <w:rPr>
          <w:i/>
          <w:iCs/>
          <w:lang w:val="fr-FR"/>
        </w:rPr>
      </w:pPr>
      <w:proofErr w:type="spellStart"/>
      <w:r w:rsidRPr="003E149A">
        <w:rPr>
          <w:i/>
          <w:iCs/>
          <w:lang w:val="fr-FR"/>
        </w:rPr>
        <w:t>Lisateavet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leiate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veebilehelt</w:t>
      </w:r>
      <w:proofErr w:type="spellEnd"/>
      <w:proofErr w:type="gramStart"/>
      <w:r w:rsidRPr="003E149A">
        <w:rPr>
          <w:i/>
          <w:iCs/>
          <w:lang w:val="fr-FR"/>
        </w:rPr>
        <w:t xml:space="preserve">:  </w:t>
      </w:r>
      <w:proofErr w:type="gramEnd"/>
      <w:hyperlink r:id="rId10" w:history="1">
        <w:r w:rsidRPr="003E149A">
          <w:rPr>
            <w:rStyle w:val="Hyperlink"/>
            <w:i/>
            <w:iCs/>
            <w:lang w:val="fr-FR"/>
          </w:rPr>
          <w:t>http://ec.europa.eu/progress</w:t>
        </w:r>
      </w:hyperlink>
    </w:p>
    <w:p w:rsidR="00B3346C" w:rsidRPr="003E149A" w:rsidRDefault="00B3346C" w:rsidP="00B3346C">
      <w:pPr>
        <w:rPr>
          <w:i/>
          <w:iCs/>
          <w:lang w:val="fr-FR"/>
        </w:rPr>
      </w:pPr>
    </w:p>
    <w:p w:rsidR="00B3346C" w:rsidRPr="003E149A" w:rsidRDefault="00B3346C" w:rsidP="00B3346C">
      <w:pPr>
        <w:spacing w:after="0"/>
        <w:jc w:val="left"/>
        <w:rPr>
          <w:lang w:val="fr-FR"/>
        </w:rPr>
      </w:pPr>
      <w:r w:rsidRPr="003E149A">
        <w:rPr>
          <w:i/>
          <w:iCs/>
          <w:lang w:val="fr-FR"/>
        </w:rPr>
        <w:t xml:space="preserve">Selles </w:t>
      </w:r>
      <w:proofErr w:type="spellStart"/>
      <w:r w:rsidRPr="003E149A">
        <w:rPr>
          <w:i/>
          <w:iCs/>
          <w:lang w:val="fr-FR"/>
        </w:rPr>
        <w:t>trükises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sisalduv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teave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ei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kajasta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Euroopa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Komisjoni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seisukohti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või</w:t>
      </w:r>
      <w:proofErr w:type="spellEnd"/>
      <w:r w:rsidRPr="003E149A">
        <w:rPr>
          <w:i/>
          <w:iCs/>
          <w:lang w:val="fr-FR"/>
        </w:rPr>
        <w:t xml:space="preserve"> </w:t>
      </w:r>
      <w:proofErr w:type="spellStart"/>
      <w:r w:rsidRPr="003E149A">
        <w:rPr>
          <w:i/>
          <w:iCs/>
          <w:lang w:val="fr-FR"/>
        </w:rPr>
        <w:t>arvamust</w:t>
      </w:r>
      <w:proofErr w:type="spellEnd"/>
      <w:r w:rsidRPr="003E149A">
        <w:rPr>
          <w:i/>
          <w:iCs/>
          <w:lang w:val="fr-FR"/>
        </w:rPr>
        <w:t>.</w:t>
      </w:r>
    </w:p>
    <w:sectPr w:rsidR="00B3346C" w:rsidRPr="003E149A" w:rsidSect="00B3346C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6C" w:rsidRDefault="00B3346C" w:rsidP="00B3346C">
      <w:r>
        <w:separator/>
      </w:r>
    </w:p>
  </w:endnote>
  <w:endnote w:type="continuationSeparator" w:id="0">
    <w:p w:rsidR="00B3346C" w:rsidRDefault="00B3346C" w:rsidP="00B33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6C" w:rsidRDefault="00B3346C" w:rsidP="00B3346C">
      <w:r>
        <w:separator/>
      </w:r>
    </w:p>
  </w:footnote>
  <w:footnote w:type="continuationSeparator" w:id="0">
    <w:p w:rsidR="00B3346C" w:rsidRDefault="00B3346C" w:rsidP="00B33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1A690B"/>
    <w:multiLevelType w:val="hybridMultilevel"/>
    <w:tmpl w:val="7D2A4A18"/>
    <w:lvl w:ilvl="0" w:tplc="34120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8A84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E6C2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40F3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0257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20E7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8079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983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501B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43D26"/>
    <w:multiLevelType w:val="hybridMultilevel"/>
    <w:tmpl w:val="40160A3E"/>
    <w:lvl w:ilvl="0" w:tplc="1612F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3C2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F64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C4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6E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944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A2D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09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A7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4460B3"/>
    <w:multiLevelType w:val="multilevel"/>
    <w:tmpl w:val="CE8E92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ED3F49"/>
    <w:multiLevelType w:val="hybridMultilevel"/>
    <w:tmpl w:val="3982BA0E"/>
    <w:lvl w:ilvl="0" w:tplc="83C6B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449C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E2DE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E073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7022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3AF4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0E1A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58E1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C2B8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hideSpellingErrors/>
  <w:hideGrammaticalErrors/>
  <w:proofState w:spelling="clean" w:grammar="clean"/>
  <w:stylePaneFormatFilter w:val="3F01"/>
  <w:doNotTrackMoves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974"/>
    <w:rsid w:val="00203974"/>
    <w:rsid w:val="003E149A"/>
    <w:rsid w:val="0040467E"/>
    <w:rsid w:val="0067728D"/>
    <w:rsid w:val="00B3346C"/>
    <w:rsid w:val="00C8671E"/>
    <w:rsid w:val="00E0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A10"/>
    <w:pPr>
      <w:spacing w:after="120"/>
      <w:jc w:val="both"/>
    </w:pPr>
    <w:rPr>
      <w:rFonts w:ascii="Arial" w:hAnsi="Arial" w:cs="Arial"/>
      <w:sz w:val="28"/>
      <w:szCs w:val="28"/>
    </w:rPr>
  </w:style>
  <w:style w:type="paragraph" w:styleId="Heading1">
    <w:name w:val="heading 1"/>
    <w:basedOn w:val="Heading2"/>
    <w:next w:val="Normal"/>
    <w:qFormat/>
    <w:rsid w:val="00752A10"/>
    <w:pPr>
      <w:numPr>
        <w:ilvl w:val="0"/>
      </w:numPr>
      <w:spacing w:before="600" w:after="360"/>
      <w:ind w:left="357" w:hanging="357"/>
      <w:outlineLvl w:val="0"/>
    </w:pPr>
    <w:rPr>
      <w:sz w:val="36"/>
      <w:szCs w:val="36"/>
    </w:rPr>
  </w:style>
  <w:style w:type="paragraph" w:styleId="Heading2">
    <w:name w:val="heading 2"/>
    <w:basedOn w:val="Heading3"/>
    <w:next w:val="Normal"/>
    <w:qFormat/>
    <w:rsid w:val="00FD2AD4"/>
    <w:pPr>
      <w:numPr>
        <w:ilvl w:val="1"/>
        <w:numId w:val="6"/>
      </w:numPr>
      <w:tabs>
        <w:tab w:val="left" w:pos="1134"/>
      </w:tabs>
      <w:spacing w:before="480" w:after="240"/>
      <w:ind w:left="788" w:hanging="431"/>
      <w:outlineLvl w:val="1"/>
    </w:p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Title">
    <w:name w:val="Title"/>
    <w:basedOn w:val="Normal"/>
    <w:next w:val="Normal"/>
    <w:qFormat/>
    <w:rsid w:val="00752A10"/>
    <w:pPr>
      <w:keepNext/>
      <w:spacing w:before="240" w:after="60"/>
      <w:jc w:val="center"/>
      <w:outlineLvl w:val="0"/>
    </w:pPr>
    <w:rPr>
      <w:b/>
      <w:bCs/>
      <w:kern w:val="28"/>
      <w:sz w:val="40"/>
      <w:szCs w:val="40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b/>
      <w:sz w:val="40"/>
    </w:rPr>
  </w:style>
  <w:style w:type="paragraph" w:styleId="Quote">
    <w:name w:val="Quote"/>
    <w:basedOn w:val="Normal"/>
    <w:qFormat/>
    <w:rsid w:val="00617685"/>
    <w:pPr>
      <w:ind w:left="794" w:right="794"/>
    </w:pPr>
  </w:style>
  <w:style w:type="paragraph" w:styleId="Caption">
    <w:name w:val="caption"/>
    <w:basedOn w:val="Normal"/>
    <w:next w:val="Normal"/>
    <w:qFormat/>
    <w:rsid w:val="00F52847"/>
    <w:rPr>
      <w:b/>
      <w:bCs/>
      <w:sz w:val="20"/>
    </w:rPr>
  </w:style>
  <w:style w:type="paragraph" w:styleId="ListBullet">
    <w:name w:val="List Bullet"/>
    <w:basedOn w:val="Normal"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link w:val="ListNumberChar"/>
    <w:rsid w:val="00617685"/>
    <w:pPr>
      <w:numPr>
        <w:numId w:val="2"/>
      </w:numPr>
      <w:tabs>
        <w:tab w:val="left" w:pos="851"/>
      </w:tabs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customStyle="1" w:styleId="Style2">
    <w:name w:val="Style2"/>
    <w:basedOn w:val="Normal"/>
    <w:rsid w:val="006934E8"/>
    <w:rPr>
      <w:b/>
      <w:sz w:val="32"/>
    </w:rPr>
  </w:style>
  <w:style w:type="paragraph" w:customStyle="1" w:styleId="Heading11">
    <w:name w:val="Heading 11"/>
    <w:basedOn w:val="Normal"/>
    <w:autoRedefine/>
    <w:rsid w:val="006934E8"/>
    <w:rPr>
      <w:b/>
      <w:sz w:val="32"/>
    </w:rPr>
  </w:style>
  <w:style w:type="character" w:customStyle="1" w:styleId="ListNumberChar">
    <w:name w:val="List Number Char"/>
    <w:link w:val="ListNumber"/>
    <w:rsid w:val="00203974"/>
    <w:rPr>
      <w:rFonts w:ascii="Arial" w:hAnsi="Arial" w:cs="Arial"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rsid w:val="002039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3974"/>
    <w:rPr>
      <w:rFonts w:ascii="Arial" w:hAnsi="Arial"/>
      <w:sz w:val="28"/>
    </w:rPr>
  </w:style>
  <w:style w:type="paragraph" w:styleId="Footer">
    <w:name w:val="footer"/>
    <w:basedOn w:val="Normal"/>
    <w:link w:val="FooterChar"/>
    <w:rsid w:val="002039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03974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14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04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151"/>
    <w:pPr>
      <w:ind w:left="720"/>
      <w:contextualSpacing/>
    </w:pPr>
  </w:style>
  <w:style w:type="character" w:styleId="Hyperlink">
    <w:name w:val="Hyperlink"/>
    <w:rsid w:val="005C79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c.europa.eu/prog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blind.org/working-areas/rehabilitation-vocational-training-and-employ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682</Words>
  <Characters>5187</Characters>
  <Application>Microsoft Office Word</Application>
  <DocSecurity>0</DocSecurity>
  <Lines>43</Lines>
  <Paragraphs>11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RNIB</Company>
  <LinksUpToDate>false</LinksUpToDate>
  <CharactersWithSpaces>5858</CharactersWithSpaces>
  <SharedDoc>false</SharedDoc>
  <HLinks>
    <vt:vector size="12" baseType="variant">
      <vt:variant>
        <vt:i4>5374024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http://ec.europa.eu/progress</vt:lpwstr>
      </vt:variant>
      <vt:variant>
        <vt:lpwstr/>
      </vt:variant>
      <vt:variant>
        <vt:i4>393225</vt:i4>
      </vt:variant>
      <vt:variant>
        <vt:i4>0</vt:i4>
      </vt:variant>
      <vt:variant>
        <vt:i4>0</vt:i4>
      </vt:variant>
      <vt:variant>
        <vt:i4>5</vt:i4>
      </vt:variant>
      <vt:variant>
        <vt:lpwstr>http://www.euroblind.org/working-areas/rehabilitation-vocational-training-and-employment/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PSimkiss</dc:creator>
  <cp:lastModifiedBy>ETLS</cp:lastModifiedBy>
  <cp:revision>4</cp:revision>
  <dcterms:created xsi:type="dcterms:W3CDTF">2013-11-21T21:01:00Z</dcterms:created>
  <dcterms:modified xsi:type="dcterms:W3CDTF">2013-11-21T21:30:00Z</dcterms:modified>
</cp:coreProperties>
</file>