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3F9" w:rsidRPr="006933F9" w:rsidRDefault="006933F9">
      <w:pPr>
        <w:pStyle w:val="Header"/>
        <w:rPr>
          <w:rFonts w:cs="Times New Roman"/>
          <w:szCs w:val="24"/>
          <w:lang w:val="fi-FI"/>
        </w:rPr>
      </w:pPr>
    </w:p>
    <w:p w:rsidR="006933F9" w:rsidRPr="006933F9" w:rsidRDefault="006933F9">
      <w:pPr>
        <w:pStyle w:val="Header"/>
        <w:rPr>
          <w:rFonts w:cs="Times New Roman"/>
          <w:szCs w:val="24"/>
          <w:lang w:val="fi-FI"/>
        </w:rPr>
      </w:pPr>
    </w:p>
    <w:p w:rsidR="006933F9" w:rsidRPr="006933F9" w:rsidRDefault="006933F9">
      <w:pPr>
        <w:rPr>
          <w:rFonts w:cs="Times New Roman"/>
          <w:szCs w:val="24"/>
          <w:lang w:val="fi-FI"/>
        </w:rPr>
      </w:pPr>
    </w:p>
    <w:p w:rsidR="006933F9" w:rsidRPr="006933F9" w:rsidRDefault="006933F9">
      <w:pPr>
        <w:rPr>
          <w:rFonts w:cs="Times New Roman"/>
          <w:szCs w:val="24"/>
          <w:lang w:val="fi-FI"/>
        </w:rPr>
      </w:pPr>
    </w:p>
    <w:p w:rsidR="006933F9" w:rsidRPr="006933F9" w:rsidRDefault="006933F9">
      <w:pPr>
        <w:pStyle w:val="Title"/>
        <w:rPr>
          <w:rFonts w:cs="Times New Roman"/>
          <w:bCs w:val="0"/>
          <w:szCs w:val="24"/>
          <w:lang w:val="fi-FI"/>
        </w:rPr>
      </w:pPr>
      <w:r w:rsidRPr="006933F9">
        <w:rPr>
          <w:rFonts w:cs="Times New Roman"/>
          <w:bCs w:val="0"/>
          <w:szCs w:val="24"/>
          <w:lang w:val="fi-FI"/>
        </w:rPr>
        <w:t>NÄKYMÄTÖN ENEMMISTÖ – perusopas</w:t>
      </w:r>
    </w:p>
    <w:p w:rsidR="006933F9" w:rsidRPr="006933F9" w:rsidRDefault="006933F9">
      <w:pPr>
        <w:rPr>
          <w:rFonts w:cs="Times New Roman"/>
          <w:szCs w:val="24"/>
          <w:lang w:val="fi-FI"/>
        </w:rPr>
      </w:pPr>
    </w:p>
    <w:p w:rsidR="006933F9" w:rsidRPr="006933F9" w:rsidRDefault="006933F9">
      <w:pPr>
        <w:pStyle w:val="Subtitle"/>
        <w:rPr>
          <w:rFonts w:cs="Times New Roman"/>
          <w:szCs w:val="24"/>
          <w:lang w:val="fi-FI"/>
        </w:rPr>
      </w:pPr>
      <w:r w:rsidRPr="006933F9">
        <w:rPr>
          <w:rFonts w:cs="Times New Roman"/>
          <w:szCs w:val="24"/>
          <w:lang w:val="fi-FI"/>
        </w:rPr>
        <w:t>Katsaus sokeisiin ja näkövammaisiin henkilöihin työvoiman ulkopuolella</w:t>
      </w:r>
    </w:p>
    <w:p w:rsidR="006933F9" w:rsidRPr="006933F9" w:rsidRDefault="006933F9">
      <w:pPr>
        <w:jc w:val="center"/>
        <w:rPr>
          <w:rFonts w:cs="Times New Roman"/>
          <w:sz w:val="32"/>
          <w:szCs w:val="24"/>
          <w:lang w:val="fi-FI"/>
        </w:rPr>
      </w:pPr>
    </w:p>
    <w:p w:rsidR="006933F9" w:rsidRPr="006933F9" w:rsidRDefault="006933F9">
      <w:pPr>
        <w:jc w:val="center"/>
        <w:rPr>
          <w:rFonts w:cs="Times New Roman"/>
          <w:sz w:val="32"/>
          <w:szCs w:val="24"/>
          <w:lang w:val="fi-FI"/>
        </w:rPr>
      </w:pPr>
    </w:p>
    <w:p w:rsidR="006933F9" w:rsidRPr="006933F9" w:rsidRDefault="006933F9">
      <w:pPr>
        <w:jc w:val="center"/>
        <w:rPr>
          <w:rFonts w:cs="Times New Roman"/>
          <w:sz w:val="32"/>
          <w:szCs w:val="24"/>
          <w:lang w:val="fi-FI"/>
        </w:rPr>
      </w:pPr>
    </w:p>
    <w:p w:rsidR="006933F9" w:rsidRPr="006933F9" w:rsidRDefault="006933F9">
      <w:pPr>
        <w:jc w:val="center"/>
        <w:rPr>
          <w:rFonts w:cs="Times New Roman"/>
          <w:b/>
          <w:sz w:val="32"/>
          <w:szCs w:val="24"/>
          <w:lang w:val="fi-FI"/>
        </w:rPr>
      </w:pPr>
      <w:r w:rsidRPr="006933F9">
        <w:rPr>
          <w:rFonts w:cs="Times New Roman"/>
          <w:b/>
          <w:sz w:val="32"/>
          <w:szCs w:val="24"/>
          <w:lang w:val="fi-FI"/>
        </w:rPr>
        <w:t>Tekijät</w:t>
      </w:r>
    </w:p>
    <w:p w:rsidR="006933F9" w:rsidRPr="006933F9" w:rsidRDefault="006933F9">
      <w:pPr>
        <w:jc w:val="center"/>
        <w:rPr>
          <w:rFonts w:cs="Times New Roman"/>
          <w:b/>
          <w:sz w:val="32"/>
          <w:szCs w:val="24"/>
          <w:lang w:val="fi-FI"/>
        </w:rPr>
      </w:pPr>
      <w:r w:rsidRPr="006933F9">
        <w:rPr>
          <w:rFonts w:cs="Times New Roman"/>
          <w:b/>
          <w:sz w:val="32"/>
          <w:szCs w:val="24"/>
          <w:lang w:val="fi-FI"/>
        </w:rPr>
        <w:t>Philippa Simkiss ja Fred Reid</w:t>
      </w:r>
    </w:p>
    <w:p w:rsidR="006933F9" w:rsidRPr="006933F9" w:rsidRDefault="006933F9">
      <w:pPr>
        <w:jc w:val="center"/>
        <w:rPr>
          <w:rFonts w:cs="Times New Roman"/>
          <w:b/>
          <w:sz w:val="32"/>
          <w:szCs w:val="24"/>
          <w:lang w:val="fi-FI"/>
        </w:rPr>
      </w:pPr>
    </w:p>
    <w:p w:rsidR="006933F9" w:rsidRPr="006933F9" w:rsidRDefault="006933F9">
      <w:pPr>
        <w:jc w:val="center"/>
        <w:rPr>
          <w:rFonts w:cs="Times New Roman"/>
          <w:b/>
          <w:sz w:val="32"/>
          <w:szCs w:val="24"/>
          <w:lang w:val="fi-FI"/>
        </w:rPr>
      </w:pPr>
      <w:r w:rsidRPr="006933F9">
        <w:rPr>
          <w:rFonts w:cs="Times New Roman"/>
          <w:b/>
          <w:sz w:val="32"/>
          <w:szCs w:val="24"/>
          <w:lang w:val="fi-FI"/>
        </w:rPr>
        <w:t>2013</w:t>
      </w:r>
    </w:p>
    <w:p w:rsidR="006933F9" w:rsidRPr="006933F9" w:rsidRDefault="006933F9">
      <w:pPr>
        <w:rPr>
          <w:rFonts w:cs="Times New Roman"/>
          <w:szCs w:val="24"/>
          <w:lang w:val="fi-FI"/>
        </w:rPr>
      </w:pPr>
    </w:p>
    <w:p w:rsidR="006933F9" w:rsidRPr="006933F9" w:rsidRDefault="006933F9">
      <w:pPr>
        <w:rPr>
          <w:rFonts w:cs="Times New Roman"/>
          <w:szCs w:val="24"/>
          <w:lang w:val="fi-FI"/>
        </w:rPr>
      </w:pPr>
    </w:p>
    <w:p w:rsidR="006933F9" w:rsidRPr="006933F9" w:rsidRDefault="003034BC">
      <w:pPr>
        <w:rPr>
          <w:rFonts w:cs="Times New Roman"/>
          <w:szCs w:val="24"/>
          <w:lang w:val="fi-FI"/>
        </w:rPr>
      </w:pPr>
      <w:r w:rsidRPr="003034BC">
        <w:rPr>
          <w:noProof/>
          <w:snapToGrid/>
        </w:rPr>
        <w:pict>
          <v:group id="_x0000_s1026" style="position:absolute;left:0;text-align:left;margin-left:0;margin-top:106.95pt;width:594.65pt;height:118.65pt;z-index:251657728;mso-position-horizontal:center;mso-position-horizontal-relative:margin" coordorigin="94,11795" coordsize="11893,2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ogo RNIB supporting blind and partially sighted peopleRegistered charity number 226227" style="position:absolute;left:94;top:11795;width:11893;height:2373;mso-position-horizontal-relative:page;mso-position-vertical-relative:page">
              <v:imagedata r:id="rId7" o:title=""/>
            </v:shape>
            <v:shape id="_x0000_s1028" type="#_x0000_t75" style="position:absolute;left:7023;top:12123;width:4338;height:1589;mso-position-horizontal-relative:margin" wrapcoords="-66 0 -66 21420 21600 21420 21600 0 -66 0">
              <v:imagedata r:id="rId8" o:title=""/>
            </v:shape>
            <w10:wrap anchorx="margin"/>
          </v:group>
        </w:pict>
      </w:r>
      <w:r w:rsidR="006933F9" w:rsidRPr="006933F9">
        <w:rPr>
          <w:rFonts w:cs="Times New Roman"/>
          <w:szCs w:val="24"/>
          <w:lang w:val="fi-FI"/>
        </w:rPr>
        <w:br w:type="page"/>
      </w:r>
    </w:p>
    <w:p w:rsidR="006933F9" w:rsidRPr="006933F9" w:rsidRDefault="006933F9">
      <w:pPr>
        <w:pStyle w:val="Heading1"/>
        <w:rPr>
          <w:rFonts w:cs="Times New Roman"/>
          <w:szCs w:val="24"/>
          <w:lang w:val="fi-FI"/>
        </w:rPr>
      </w:pPr>
      <w:r w:rsidRPr="006933F9">
        <w:rPr>
          <w:rFonts w:cs="Times New Roman"/>
          <w:szCs w:val="24"/>
          <w:lang w:val="fi-FI"/>
        </w:rPr>
        <w:t>Ketkä kuuluvat näkymättömään enemmistöön?</w:t>
      </w:r>
    </w:p>
    <w:p w:rsidR="006933F9" w:rsidRPr="006933F9" w:rsidRDefault="006933F9">
      <w:pPr>
        <w:rPr>
          <w:rFonts w:cs="Times New Roman"/>
          <w:szCs w:val="24"/>
          <w:lang w:val="fi-FI"/>
        </w:rPr>
      </w:pPr>
      <w:r w:rsidRPr="006933F9">
        <w:rPr>
          <w:rFonts w:cs="Times New Roman"/>
          <w:szCs w:val="24"/>
          <w:lang w:val="fi-FI"/>
        </w:rPr>
        <w:t>Työvoimaan kuuluvat henkilöt, jotka ovat työelämässä, ja henkilöt, jotka ovat työttömiä mutta jotka etsivät aktiivisesti töitä. Näihin kahteen ryhmään kuulumattomat henkilöt ovat työvoiman ulkopuolella.</w:t>
      </w:r>
    </w:p>
    <w:p w:rsidR="006933F9" w:rsidRPr="006933F9" w:rsidRDefault="006933F9">
      <w:pPr>
        <w:rPr>
          <w:rFonts w:cs="Times New Roman"/>
          <w:szCs w:val="24"/>
          <w:lang w:val="fi-FI"/>
        </w:rPr>
      </w:pPr>
      <w:r w:rsidRPr="006933F9">
        <w:rPr>
          <w:rFonts w:cs="Times New Roman"/>
          <w:szCs w:val="24"/>
          <w:lang w:val="fi-FI"/>
        </w:rPr>
        <w:t>Sokeat ja näkövammaiset henkilöt työskentelevät erilaisissa ammateissa koko EU:n alueella, mutta EBU on kerännyt tietoa, jonka perusteella työvoiman ulkopuolella olevien määrä on suuri tässä ryhmässä Euroopan unionin maissa. Määrä vaihtelee noin 40 prosentista 80 prosenttiin. EBU on tilannut useita perusteellisia raportteja, joita tukevat yhteisön työllisyyttä ja sosiaalista yhteisvastuullisuutta edistävä Progress-ohjelma sekä Ison-Britannian näkövammaisten järjestö Royal National Institute of Blind People.</w:t>
      </w:r>
    </w:p>
    <w:p w:rsidR="006933F9" w:rsidRPr="006933F9" w:rsidRDefault="006933F9">
      <w:pPr>
        <w:rPr>
          <w:rFonts w:cs="Times New Roman"/>
          <w:szCs w:val="24"/>
          <w:lang w:val="fi-FI"/>
        </w:rPr>
      </w:pPr>
      <w:r w:rsidRPr="006933F9">
        <w:rPr>
          <w:rFonts w:cs="Times New Roman"/>
          <w:szCs w:val="24"/>
          <w:lang w:val="fi-FI"/>
        </w:rPr>
        <w:t>Nämä raportit ovat saatavana EBU:n verkkosivustolla, ja ne esittävät todisteita siitä, että tämä työvoiman ulkopuolella olevien sokeiden ja näkövammaisten henkilöiden ryhmä muodostaa ”näkymättömän enemmistön” koko EU:n alueella.</w:t>
      </w:r>
    </w:p>
    <w:p w:rsidR="006933F9" w:rsidRPr="006933F9" w:rsidRDefault="006933F9">
      <w:pPr>
        <w:pStyle w:val="Heading1"/>
        <w:rPr>
          <w:rFonts w:cs="Times New Roman"/>
          <w:szCs w:val="24"/>
          <w:lang w:val="fi-FI"/>
        </w:rPr>
      </w:pPr>
      <w:r w:rsidRPr="006933F9">
        <w:rPr>
          <w:rFonts w:cs="Times New Roman"/>
          <w:szCs w:val="24"/>
          <w:lang w:val="fi-FI"/>
        </w:rPr>
        <w:t>Kenen on tiedettävä näkymättömästä enemmistöstä?</w:t>
      </w:r>
    </w:p>
    <w:p w:rsidR="006933F9" w:rsidRPr="006933F9" w:rsidRDefault="006933F9">
      <w:pPr>
        <w:rPr>
          <w:rFonts w:cs="Times New Roman"/>
          <w:szCs w:val="24"/>
          <w:lang w:val="fi-FI"/>
        </w:rPr>
      </w:pPr>
      <w:r w:rsidRPr="006933F9">
        <w:rPr>
          <w:rFonts w:cs="Times New Roman"/>
          <w:szCs w:val="24"/>
          <w:lang w:val="fi-FI"/>
        </w:rPr>
        <w:t xml:space="preserve">Tämä ryhmä koostuu suurimmaksi osaksi työikäisistä sokeista ja näkövammaisista henkilöistä, joten on tärkeää, että päättäjät ja palveluntarjoajat ymmärtävät, miten työvoiman ulkopuolella olevia sokeita ja näkövammaisia henkilöitä voidaan osallistaa ja miten tarjontaa voidaan mukauttaa heidän tarpeidensa mukaan. </w:t>
      </w:r>
    </w:p>
    <w:p w:rsidR="006933F9" w:rsidRPr="006933F9" w:rsidRDefault="006933F9">
      <w:pPr>
        <w:rPr>
          <w:rFonts w:cs="Times New Roman"/>
          <w:szCs w:val="24"/>
          <w:lang w:val="fi-FI"/>
        </w:rPr>
      </w:pPr>
      <w:r w:rsidRPr="006933F9">
        <w:rPr>
          <w:rFonts w:cs="Times New Roman"/>
          <w:szCs w:val="24"/>
          <w:lang w:val="fi-FI"/>
        </w:rPr>
        <w:t xml:space="preserve">EBU:n jäsenet voivat hyödyntää työvoiman ulkopuolella olevien työikäisten sokeiden ja näkövammaisten henkilöiden määrää koskevia tietoja pyrkiessään parantamaan sokeille ja näkövammaisille henkilöille tarjottavien palvelujen laatua. </w:t>
      </w:r>
    </w:p>
    <w:p w:rsidR="006933F9" w:rsidRPr="006933F9" w:rsidRDefault="006933F9">
      <w:pPr>
        <w:rPr>
          <w:rFonts w:cs="Times New Roman"/>
          <w:szCs w:val="24"/>
          <w:lang w:val="fi-FI"/>
        </w:rPr>
      </w:pPr>
    </w:p>
    <w:p w:rsidR="006933F9" w:rsidRPr="006933F9" w:rsidRDefault="006933F9">
      <w:pPr>
        <w:rPr>
          <w:rFonts w:cs="Times New Roman"/>
          <w:szCs w:val="24"/>
          <w:lang w:val="fi-FI"/>
        </w:rPr>
      </w:pPr>
    </w:p>
    <w:p w:rsidR="006933F9" w:rsidRPr="006933F9" w:rsidRDefault="006933F9">
      <w:pPr>
        <w:pStyle w:val="Heading1"/>
        <w:rPr>
          <w:rFonts w:cs="Times New Roman"/>
          <w:szCs w:val="24"/>
          <w:lang w:val="fi-FI"/>
        </w:rPr>
      </w:pPr>
      <w:r w:rsidRPr="006933F9">
        <w:rPr>
          <w:rFonts w:cs="Times New Roman"/>
          <w:szCs w:val="24"/>
          <w:lang w:val="fi-FI"/>
        </w:rPr>
        <w:lastRenderedPageBreak/>
        <w:t>Näkymättömän enemmistön löytäminen</w:t>
      </w:r>
    </w:p>
    <w:p w:rsidR="006933F9" w:rsidRPr="006933F9" w:rsidRDefault="006933F9">
      <w:pPr>
        <w:pStyle w:val="Heading2"/>
        <w:rPr>
          <w:rFonts w:cs="Times New Roman"/>
          <w:szCs w:val="24"/>
          <w:lang w:val="fi-FI"/>
        </w:rPr>
      </w:pPr>
      <w:r w:rsidRPr="006933F9">
        <w:rPr>
          <w:rFonts w:cs="Times New Roman"/>
          <w:szCs w:val="24"/>
          <w:lang w:val="fi-FI"/>
        </w:rPr>
        <w:t xml:space="preserve">Miten? </w:t>
      </w:r>
    </w:p>
    <w:p w:rsidR="006933F9" w:rsidRPr="006933F9" w:rsidRDefault="006933F9">
      <w:pPr>
        <w:rPr>
          <w:rFonts w:cs="Times New Roman"/>
          <w:szCs w:val="24"/>
          <w:lang w:val="fi-FI"/>
        </w:rPr>
      </w:pPr>
      <w:r w:rsidRPr="006933F9">
        <w:rPr>
          <w:rFonts w:cs="Times New Roman"/>
          <w:szCs w:val="24"/>
          <w:lang w:val="fi-FI"/>
        </w:rPr>
        <w:t>Osittain ohjatut haastattelut, joiden kysymykset lähetetään etukäteen haastateltaville</w:t>
      </w:r>
    </w:p>
    <w:p w:rsidR="006933F9" w:rsidRPr="006933F9" w:rsidRDefault="006933F9">
      <w:pPr>
        <w:pStyle w:val="Heading2"/>
        <w:rPr>
          <w:rFonts w:cs="Times New Roman"/>
          <w:szCs w:val="24"/>
          <w:lang w:val="fi-FI"/>
        </w:rPr>
      </w:pPr>
      <w:r w:rsidRPr="006933F9">
        <w:rPr>
          <w:rFonts w:cs="Times New Roman"/>
          <w:szCs w:val="24"/>
          <w:lang w:val="fi-FI"/>
        </w:rPr>
        <w:t xml:space="preserve">Kenen kanssa? </w:t>
      </w:r>
    </w:p>
    <w:p w:rsidR="006933F9" w:rsidRPr="006933F9" w:rsidRDefault="006933F9">
      <w:pPr>
        <w:pStyle w:val="ListParagraph"/>
        <w:numPr>
          <w:ilvl w:val="0"/>
          <w:numId w:val="7"/>
        </w:numPr>
        <w:rPr>
          <w:rFonts w:cs="Times New Roman"/>
          <w:szCs w:val="24"/>
          <w:lang w:val="fi-FI"/>
        </w:rPr>
      </w:pPr>
      <w:r w:rsidRPr="006933F9">
        <w:rPr>
          <w:rFonts w:cs="Times New Roman"/>
          <w:szCs w:val="24"/>
          <w:lang w:val="fi-FI"/>
        </w:rPr>
        <w:t>Henkilöt, jotka ovat vastuussa valtakunnallisen työnvälityksen tarjoamisesta sokeille ja näkövammaisille henkilöille</w:t>
      </w:r>
    </w:p>
    <w:p w:rsidR="006933F9" w:rsidRPr="006933F9" w:rsidRDefault="006933F9">
      <w:pPr>
        <w:pStyle w:val="ListParagraph"/>
        <w:numPr>
          <w:ilvl w:val="0"/>
          <w:numId w:val="7"/>
        </w:numPr>
        <w:rPr>
          <w:rFonts w:cs="Times New Roman"/>
          <w:szCs w:val="24"/>
          <w:lang w:val="fi-FI"/>
        </w:rPr>
      </w:pPr>
      <w:r w:rsidRPr="006933F9">
        <w:rPr>
          <w:rFonts w:cs="Times New Roman"/>
          <w:szCs w:val="24"/>
          <w:lang w:val="fi-FI"/>
        </w:rPr>
        <w:t>Työvoiman aktivointitoimenpiteistä vastaavat viranomaiset</w:t>
      </w:r>
    </w:p>
    <w:p w:rsidR="006933F9" w:rsidRPr="006933F9" w:rsidRDefault="006933F9">
      <w:pPr>
        <w:pStyle w:val="ListParagraph"/>
        <w:numPr>
          <w:ilvl w:val="0"/>
          <w:numId w:val="7"/>
        </w:numPr>
        <w:rPr>
          <w:rFonts w:cs="Times New Roman"/>
          <w:szCs w:val="24"/>
          <w:lang w:val="fi-FI"/>
        </w:rPr>
      </w:pPr>
      <w:r w:rsidRPr="006933F9">
        <w:rPr>
          <w:rFonts w:cs="Times New Roman"/>
          <w:szCs w:val="24"/>
          <w:lang w:val="fi-FI"/>
        </w:rPr>
        <w:t xml:space="preserve">Asioista perillä olevat tarkkailijat, mukaan lukien henkilöitä sokeita edustavista merkittävistä organisaatioista </w:t>
      </w:r>
    </w:p>
    <w:p w:rsidR="006933F9" w:rsidRPr="006933F9" w:rsidRDefault="006933F9">
      <w:pPr>
        <w:rPr>
          <w:rFonts w:cs="Times New Roman"/>
          <w:szCs w:val="24"/>
          <w:lang w:val="fi-FI"/>
        </w:rPr>
      </w:pPr>
      <w:r w:rsidRPr="006933F9">
        <w:rPr>
          <w:rFonts w:cs="Times New Roman"/>
          <w:b/>
          <w:szCs w:val="24"/>
          <w:lang w:val="fi-FI"/>
        </w:rPr>
        <w:t>Vinkki:</w:t>
      </w:r>
      <w:r w:rsidRPr="006933F9">
        <w:rPr>
          <w:rFonts w:cs="Times New Roman"/>
          <w:szCs w:val="24"/>
          <w:lang w:val="fi-FI"/>
        </w:rPr>
        <w:t xml:space="preserve"> EBU:n jäsenet auttoivat merkittävästi tärkeiden haastateltavien yhteyshenkilöiden löytämisessä. </w:t>
      </w:r>
    </w:p>
    <w:p w:rsidR="006933F9" w:rsidRPr="006933F9" w:rsidRDefault="006933F9">
      <w:pPr>
        <w:rPr>
          <w:rFonts w:cs="Times New Roman"/>
          <w:szCs w:val="24"/>
          <w:lang w:val="fi-FI"/>
        </w:rPr>
      </w:pPr>
      <w:r w:rsidRPr="006933F9">
        <w:rPr>
          <w:rFonts w:cs="Times New Roman"/>
          <w:b/>
          <w:szCs w:val="24"/>
          <w:lang w:val="fi-FI"/>
        </w:rPr>
        <w:t>Tärkeää:</w:t>
      </w:r>
      <w:r w:rsidRPr="006933F9">
        <w:rPr>
          <w:rFonts w:cs="Times New Roman"/>
          <w:szCs w:val="24"/>
          <w:lang w:val="fi-FI"/>
        </w:rPr>
        <w:t xml:space="preserve"> Kaikkien henkilöllisyyden suojaus varmistettiin. Yksikään annetuista kommenteista ei viitannut kehenkään henkilökohtaisesti.</w:t>
      </w:r>
    </w:p>
    <w:p w:rsidR="006933F9" w:rsidRPr="006933F9" w:rsidRDefault="006933F9">
      <w:pPr>
        <w:pStyle w:val="Heading2"/>
        <w:rPr>
          <w:rFonts w:cs="Times New Roman"/>
          <w:szCs w:val="24"/>
          <w:lang w:val="fi-FI"/>
        </w:rPr>
      </w:pPr>
      <w:r w:rsidRPr="006933F9">
        <w:rPr>
          <w:rFonts w:cs="Times New Roman"/>
          <w:szCs w:val="24"/>
          <w:lang w:val="fi-FI"/>
        </w:rPr>
        <w:t xml:space="preserve">Kysymykset </w:t>
      </w:r>
    </w:p>
    <w:p w:rsidR="006933F9" w:rsidRPr="006933F9" w:rsidRDefault="006933F9">
      <w:pPr>
        <w:rPr>
          <w:rFonts w:cs="Times New Roman"/>
          <w:szCs w:val="24"/>
          <w:lang w:val="fi-FI"/>
        </w:rPr>
      </w:pPr>
      <w:r w:rsidRPr="006933F9">
        <w:rPr>
          <w:rFonts w:cs="Times New Roman"/>
          <w:szCs w:val="24"/>
          <w:lang w:val="fi-FI"/>
        </w:rPr>
        <w:t>Kysymykset, joilla tutkitaan työvoiman aktivointitoimenpiteitä, työllisyyden tukipalveluja ja joilla kerätään tietoa näkymättömästä enemmistöstä, on muodostettava seuraavista aiheista:</w:t>
      </w:r>
    </w:p>
    <w:p w:rsidR="006933F9" w:rsidRPr="006933F9" w:rsidRDefault="006933F9">
      <w:pPr>
        <w:rPr>
          <w:rFonts w:cs="Times New Roman"/>
          <w:szCs w:val="24"/>
          <w:lang w:val="fi-FI"/>
        </w:rPr>
      </w:pPr>
    </w:p>
    <w:p w:rsidR="006933F9" w:rsidRPr="006933F9" w:rsidRDefault="006933F9">
      <w:pPr>
        <w:pStyle w:val="ListNumber"/>
        <w:tabs>
          <w:tab w:val="clear" w:pos="360"/>
          <w:tab w:val="num" w:pos="567"/>
        </w:tabs>
        <w:spacing w:after="240"/>
        <w:ind w:left="567" w:hanging="567"/>
        <w:rPr>
          <w:rFonts w:cs="Times New Roman"/>
          <w:szCs w:val="24"/>
          <w:lang w:val="fi-FI"/>
        </w:rPr>
      </w:pPr>
      <w:r w:rsidRPr="006933F9">
        <w:rPr>
          <w:rFonts w:cs="Times New Roman"/>
          <w:szCs w:val="24"/>
          <w:lang w:val="fi-FI"/>
        </w:rPr>
        <w:t>Sokeuden ja/tai näkövammaisuuden laillinen määritelmä, joka oikeuttaa henkilön kuulumaan erityisten työvoiman aktivointiohjelmien piiriin.</w:t>
      </w:r>
    </w:p>
    <w:p w:rsidR="006933F9" w:rsidRPr="006933F9" w:rsidRDefault="006933F9">
      <w:pPr>
        <w:pStyle w:val="ListNumber"/>
        <w:tabs>
          <w:tab w:val="clear" w:pos="360"/>
          <w:tab w:val="num" w:pos="567"/>
        </w:tabs>
        <w:spacing w:after="240"/>
        <w:ind w:left="567" w:hanging="567"/>
        <w:rPr>
          <w:rFonts w:cs="Times New Roman"/>
          <w:szCs w:val="24"/>
          <w:lang w:val="fi-FI"/>
        </w:rPr>
      </w:pPr>
      <w:r w:rsidRPr="006933F9">
        <w:rPr>
          <w:rFonts w:cs="Times New Roman"/>
          <w:szCs w:val="24"/>
          <w:lang w:val="fi-FI"/>
        </w:rPr>
        <w:t>Työelämässä olevien sokeiden ja näkövammaisten henkilöiden lukumäärä jaoteltuna iän, sukupuolen ja muiden vammojen mukaan</w:t>
      </w:r>
    </w:p>
    <w:p w:rsidR="006933F9" w:rsidRPr="006933F9" w:rsidRDefault="006933F9">
      <w:pPr>
        <w:pStyle w:val="ListNumber"/>
        <w:tabs>
          <w:tab w:val="clear" w:pos="360"/>
          <w:tab w:val="num" w:pos="567"/>
        </w:tabs>
        <w:spacing w:after="240"/>
        <w:ind w:left="567" w:hanging="567"/>
        <w:rPr>
          <w:rFonts w:cs="Times New Roman"/>
          <w:szCs w:val="24"/>
          <w:lang w:val="fi-FI"/>
        </w:rPr>
      </w:pPr>
      <w:r w:rsidRPr="006933F9">
        <w:rPr>
          <w:rFonts w:cs="Times New Roman"/>
          <w:szCs w:val="24"/>
          <w:lang w:val="fi-FI"/>
        </w:rPr>
        <w:t>Sokeita ja näkövammaisia henkilöitä työllistävät ammatit ja mahdollinen osoitus yhdestä hallitsevasta ammatista.</w:t>
      </w:r>
    </w:p>
    <w:p w:rsidR="006933F9" w:rsidRPr="006933F9" w:rsidRDefault="006933F9">
      <w:pPr>
        <w:pStyle w:val="ListNumber"/>
        <w:numPr>
          <w:ilvl w:val="0"/>
          <w:numId w:val="0"/>
        </w:numPr>
        <w:spacing w:after="240"/>
        <w:ind w:left="567"/>
        <w:rPr>
          <w:rFonts w:cs="Times New Roman"/>
          <w:szCs w:val="24"/>
          <w:lang w:val="fi-FI"/>
        </w:rPr>
      </w:pPr>
    </w:p>
    <w:p w:rsidR="006933F9" w:rsidRPr="006933F9" w:rsidRDefault="006933F9">
      <w:pPr>
        <w:pStyle w:val="ListNumber"/>
        <w:tabs>
          <w:tab w:val="clear" w:pos="360"/>
          <w:tab w:val="num" w:pos="567"/>
        </w:tabs>
        <w:spacing w:after="240"/>
        <w:ind w:left="567" w:hanging="567"/>
        <w:rPr>
          <w:rFonts w:cs="Times New Roman"/>
          <w:szCs w:val="24"/>
          <w:lang w:val="fi-FI"/>
        </w:rPr>
      </w:pPr>
      <w:r w:rsidRPr="006933F9">
        <w:rPr>
          <w:rFonts w:cs="Times New Roman"/>
          <w:szCs w:val="24"/>
          <w:lang w:val="fi-FI"/>
        </w:rPr>
        <w:lastRenderedPageBreak/>
        <w:t>Aktiivisesti työtä etsivien sokeiden ja/tai näkövammaisten henkilöiden lukumäärä jaoteltuna iän, sukupuolen ja muiden vammojen mukaan</w:t>
      </w:r>
    </w:p>
    <w:p w:rsidR="006933F9" w:rsidRPr="006933F9" w:rsidRDefault="006933F9">
      <w:pPr>
        <w:pStyle w:val="ListNumber"/>
        <w:tabs>
          <w:tab w:val="clear" w:pos="360"/>
          <w:tab w:val="num" w:pos="567"/>
        </w:tabs>
        <w:spacing w:after="240"/>
        <w:ind w:left="567" w:hanging="567"/>
        <w:rPr>
          <w:rFonts w:cs="Times New Roman"/>
          <w:szCs w:val="24"/>
          <w:lang w:val="fi-FI"/>
        </w:rPr>
      </w:pPr>
      <w:r w:rsidRPr="006933F9">
        <w:rPr>
          <w:rFonts w:cs="Times New Roman"/>
          <w:szCs w:val="24"/>
          <w:lang w:val="fi-FI"/>
        </w:rPr>
        <w:t>Työvoiman ulkopuolella olevien sokeiden ja/tai näkövammaisten henkilöiden lukumäärä jaoteltuna iän ja sukupuolen mukaan</w:t>
      </w:r>
    </w:p>
    <w:p w:rsidR="006933F9" w:rsidRPr="006933F9" w:rsidRDefault="006933F9">
      <w:pPr>
        <w:pStyle w:val="ListNumber"/>
        <w:tabs>
          <w:tab w:val="clear" w:pos="360"/>
          <w:tab w:val="num" w:pos="567"/>
        </w:tabs>
        <w:spacing w:after="240"/>
        <w:ind w:left="567" w:hanging="567"/>
        <w:rPr>
          <w:rFonts w:cs="Times New Roman"/>
          <w:szCs w:val="24"/>
          <w:lang w:val="fi-FI"/>
        </w:rPr>
      </w:pPr>
      <w:r w:rsidRPr="006933F9">
        <w:rPr>
          <w:rFonts w:cs="Times New Roman"/>
          <w:szCs w:val="24"/>
          <w:lang w:val="fi-FI"/>
        </w:rPr>
        <w:t>Työmarkkinoita lähellä olevien sokeiden ja näkövammaisten henkilöiden lukumäärä</w:t>
      </w:r>
    </w:p>
    <w:p w:rsidR="006933F9" w:rsidRPr="006933F9" w:rsidRDefault="006933F9">
      <w:pPr>
        <w:pStyle w:val="ListNumber"/>
        <w:tabs>
          <w:tab w:val="clear" w:pos="360"/>
          <w:tab w:val="num" w:pos="567"/>
        </w:tabs>
        <w:spacing w:after="240"/>
        <w:ind w:left="567" w:hanging="567"/>
        <w:rPr>
          <w:rFonts w:cs="Times New Roman"/>
          <w:szCs w:val="24"/>
          <w:lang w:val="fi-FI"/>
        </w:rPr>
      </w:pPr>
      <w:r w:rsidRPr="006933F9">
        <w:rPr>
          <w:rFonts w:cs="Times New Roman"/>
          <w:szCs w:val="24"/>
          <w:lang w:val="fi-FI"/>
        </w:rPr>
        <w:t>Työmarkkinoista kaukana olevien sokeiden ja näkövammaisten henkilöiden lukumäärä</w:t>
      </w:r>
    </w:p>
    <w:p w:rsidR="006933F9" w:rsidRPr="006933F9" w:rsidRDefault="006933F9">
      <w:pPr>
        <w:pStyle w:val="ListNumber"/>
        <w:tabs>
          <w:tab w:val="clear" w:pos="360"/>
          <w:tab w:val="num" w:pos="567"/>
        </w:tabs>
        <w:spacing w:after="240"/>
        <w:ind w:left="567" w:hanging="567"/>
        <w:rPr>
          <w:rFonts w:cs="Times New Roman"/>
          <w:szCs w:val="24"/>
          <w:lang w:val="fi-FI"/>
        </w:rPr>
      </w:pPr>
      <w:r w:rsidRPr="006933F9">
        <w:rPr>
          <w:rFonts w:cs="Times New Roman"/>
          <w:szCs w:val="24"/>
          <w:lang w:val="fi-FI"/>
        </w:rPr>
        <w:t>Työvoiman ulkopuolella oleville sokeille ja näkövammaisille henkilöille maksettavien sosiaaliturvaetuuksien tyypit jaoteltuina tulokorvauksen ja vammaisuuden kulujen korvauksen mukaan</w:t>
      </w:r>
    </w:p>
    <w:p w:rsidR="006933F9" w:rsidRPr="006933F9" w:rsidRDefault="006933F9">
      <w:pPr>
        <w:pStyle w:val="ListNumber"/>
        <w:tabs>
          <w:tab w:val="clear" w:pos="360"/>
          <w:tab w:val="num" w:pos="567"/>
        </w:tabs>
        <w:spacing w:after="240"/>
        <w:ind w:left="567" w:hanging="567"/>
        <w:rPr>
          <w:rFonts w:cs="Times New Roman"/>
          <w:szCs w:val="24"/>
          <w:lang w:val="fi-FI"/>
        </w:rPr>
      </w:pPr>
      <w:r w:rsidRPr="006933F9">
        <w:rPr>
          <w:rFonts w:cs="Times New Roman"/>
          <w:szCs w:val="24"/>
          <w:lang w:val="fi-FI"/>
        </w:rPr>
        <w:t>Edellä mainitun taso prosenttiosuutena keskimääräisistä vuosituloista</w:t>
      </w:r>
    </w:p>
    <w:p w:rsidR="006933F9" w:rsidRPr="006933F9" w:rsidRDefault="006933F9">
      <w:pPr>
        <w:pStyle w:val="ListNumber"/>
        <w:tabs>
          <w:tab w:val="clear" w:pos="360"/>
          <w:tab w:val="num" w:pos="567"/>
        </w:tabs>
        <w:spacing w:after="240"/>
        <w:ind w:left="567" w:hanging="567"/>
        <w:rPr>
          <w:rFonts w:cs="Times New Roman"/>
          <w:szCs w:val="24"/>
          <w:lang w:val="fi-FI"/>
        </w:rPr>
      </w:pPr>
      <w:r w:rsidRPr="006933F9">
        <w:rPr>
          <w:rFonts w:cs="Times New Roman"/>
          <w:szCs w:val="24"/>
          <w:lang w:val="fi-FI"/>
        </w:rPr>
        <w:t>Erityisesti sokeille ja näkövammaisille henkilöille tarjotut työvoiman aktivointiohjelmat, joiden tarkoituksena on työllistyminen yleisiin ammatteihin ja työllistyminen erityisiin keskuksiin, kuten suojatyökeskuksiin, palveluja tuottaviin sosiaalisiin yrityksiin ja työllistäviin sosiaalisiin yrityksiin.</w:t>
      </w:r>
    </w:p>
    <w:p w:rsidR="006933F9" w:rsidRPr="006933F9" w:rsidRDefault="006933F9">
      <w:pPr>
        <w:pStyle w:val="ListNumber"/>
        <w:tabs>
          <w:tab w:val="clear" w:pos="360"/>
          <w:tab w:val="num" w:pos="567"/>
        </w:tabs>
        <w:spacing w:after="240"/>
        <w:ind w:left="567" w:hanging="567"/>
        <w:rPr>
          <w:rFonts w:cs="Times New Roman"/>
          <w:szCs w:val="24"/>
          <w:lang w:val="fi-FI"/>
        </w:rPr>
      </w:pPr>
      <w:r w:rsidRPr="006933F9">
        <w:rPr>
          <w:rFonts w:cs="Times New Roman"/>
          <w:szCs w:val="24"/>
          <w:lang w:val="fi-FI"/>
        </w:rPr>
        <w:t>Lainsäädäntö, jonka tarkoituksena on saada työnantajia työllistämään sokeita ja näkövammaisia henkilöitä. Tästä esimerkkinä ovat kiintiöt ja sokeille ja näkövammaisille suunnatut työt.</w:t>
      </w:r>
    </w:p>
    <w:p w:rsidR="006933F9" w:rsidRPr="006933F9" w:rsidRDefault="006933F9">
      <w:pPr>
        <w:pStyle w:val="Heading2"/>
        <w:rPr>
          <w:rFonts w:cs="Times New Roman"/>
          <w:szCs w:val="24"/>
          <w:lang w:val="fi-FI"/>
        </w:rPr>
      </w:pPr>
      <w:r w:rsidRPr="006933F9">
        <w:rPr>
          <w:rFonts w:cs="Times New Roman"/>
          <w:szCs w:val="24"/>
          <w:lang w:val="fi-FI"/>
        </w:rPr>
        <w:t>Raportin tarkkuuden varmistaminen</w:t>
      </w:r>
    </w:p>
    <w:p w:rsidR="006933F9" w:rsidRPr="006933F9" w:rsidRDefault="006933F9">
      <w:pPr>
        <w:rPr>
          <w:rFonts w:cs="Times New Roman"/>
          <w:szCs w:val="24"/>
          <w:lang w:val="fi-FI"/>
        </w:rPr>
      </w:pPr>
      <w:r w:rsidRPr="006933F9">
        <w:rPr>
          <w:rFonts w:cs="Times New Roman"/>
          <w:szCs w:val="24"/>
          <w:lang w:val="fi-FI"/>
        </w:rPr>
        <w:t xml:space="preserve">Kaikille osallistujille lähetetään raportin ensimmäinen luonnos, jotta he voivat tehdä korjauksia ja lähettää lisätietoja ja kommentteja. </w:t>
      </w:r>
    </w:p>
    <w:p w:rsidR="006933F9" w:rsidRPr="006933F9" w:rsidRDefault="006933F9">
      <w:pPr>
        <w:rPr>
          <w:rFonts w:cs="Times New Roman"/>
          <w:szCs w:val="24"/>
          <w:lang w:val="fi-FI"/>
        </w:rPr>
      </w:pPr>
      <w:r w:rsidRPr="006933F9">
        <w:rPr>
          <w:rFonts w:cs="Times New Roman"/>
          <w:szCs w:val="24"/>
          <w:lang w:val="fi-FI"/>
        </w:rPr>
        <w:t>Näin saadaan laaja yksimielisyys ja tasapainoinen kuva työllisyyspalveluista ja niiden vaikutuksesta sokeisiin ja näkövammaisiin henkilöihin sekä voidaan tehdä päätelmät näkymättömästä enemmistöstä.</w:t>
      </w:r>
    </w:p>
    <w:p w:rsidR="006933F9" w:rsidRPr="006933F9" w:rsidRDefault="006933F9">
      <w:pPr>
        <w:rPr>
          <w:rFonts w:cs="Times New Roman"/>
          <w:szCs w:val="24"/>
          <w:lang w:val="fi-FI"/>
        </w:rPr>
      </w:pPr>
      <w:r w:rsidRPr="006933F9">
        <w:rPr>
          <w:rFonts w:cs="Times New Roman"/>
          <w:b/>
          <w:szCs w:val="24"/>
          <w:lang w:val="fi-FI"/>
        </w:rPr>
        <w:t>Tärkeää:</w:t>
      </w:r>
      <w:r w:rsidRPr="006933F9">
        <w:rPr>
          <w:rFonts w:cs="Times New Roman"/>
          <w:szCs w:val="24"/>
          <w:lang w:val="fi-FI"/>
        </w:rPr>
        <w:t xml:space="preserve"> Raporttiin on sisällytettävä mahdolliset jäljellä olevat painotuserot ja ajoittaiset tulkintaerot.</w:t>
      </w:r>
    </w:p>
    <w:p w:rsidR="006933F9" w:rsidRPr="006933F9" w:rsidRDefault="006933F9">
      <w:pPr>
        <w:pStyle w:val="Heading2"/>
        <w:rPr>
          <w:rFonts w:cs="Times New Roman"/>
          <w:szCs w:val="24"/>
          <w:lang w:val="fi-FI"/>
        </w:rPr>
      </w:pPr>
      <w:r w:rsidRPr="006933F9">
        <w:rPr>
          <w:rFonts w:cs="Times New Roman"/>
          <w:szCs w:val="24"/>
          <w:lang w:val="fi-FI"/>
        </w:rPr>
        <w:lastRenderedPageBreak/>
        <w:t>Näkymätöntä enemmistöä koskevan raportin julkaisu</w:t>
      </w:r>
    </w:p>
    <w:p w:rsidR="006933F9" w:rsidRPr="006933F9" w:rsidRDefault="006933F9">
      <w:pPr>
        <w:rPr>
          <w:rFonts w:cs="Times New Roman"/>
          <w:szCs w:val="24"/>
          <w:lang w:val="fi-FI"/>
        </w:rPr>
      </w:pPr>
      <w:r w:rsidRPr="006933F9">
        <w:rPr>
          <w:rFonts w:cs="Times New Roman"/>
          <w:szCs w:val="24"/>
          <w:lang w:val="fi-FI"/>
        </w:rPr>
        <w:t>EBU vastaanottaa mielellään erityisesti sellaisia raportteja, joissa korostetaan hyviä käytäntöjä, jotka EBU ja sen jäsenjärjestöt voivat jakaa koko Euroopan unionin alueelle.</w:t>
      </w:r>
    </w:p>
    <w:p w:rsidR="006933F9" w:rsidRPr="006933F9" w:rsidRDefault="006933F9">
      <w:pPr>
        <w:rPr>
          <w:rFonts w:cs="Times New Roman"/>
          <w:szCs w:val="24"/>
          <w:lang w:val="fi-FI"/>
        </w:rPr>
      </w:pPr>
      <w:bookmarkStart w:id="0" w:name="_Hlt372632554"/>
      <w:bookmarkStart w:id="1" w:name="_Hlt372632555"/>
      <w:r w:rsidRPr="006933F9">
        <w:rPr>
          <w:rFonts w:cs="Times New Roman"/>
          <w:szCs w:val="24"/>
          <w:lang w:val="fi-FI"/>
        </w:rPr>
        <w:t>EBU voi julkaista raporttisi verkkosivustollaan muiden näkymätöntä enemmistöä koskevien raporttien kanssa:</w:t>
      </w:r>
    </w:p>
    <w:bookmarkEnd w:id="0"/>
    <w:bookmarkEnd w:id="1"/>
    <w:p w:rsidR="006933F9" w:rsidRPr="006933F9" w:rsidRDefault="003034BC">
      <w:pPr>
        <w:rPr>
          <w:rFonts w:cs="Times New Roman"/>
          <w:szCs w:val="24"/>
          <w:lang w:val="fi-FI"/>
        </w:rPr>
      </w:pPr>
      <w:r w:rsidRPr="006933F9">
        <w:rPr>
          <w:rFonts w:cs="Times New Roman"/>
          <w:szCs w:val="24"/>
        </w:rPr>
        <w:fldChar w:fldCharType="begin"/>
      </w:r>
      <w:r w:rsidR="006933F9" w:rsidRPr="00D543F0">
        <w:rPr>
          <w:rFonts w:cs="Times New Roman"/>
          <w:szCs w:val="24"/>
          <w:lang w:val="fi-FI"/>
        </w:rPr>
        <w:instrText xml:space="preserve"> HYPERLINK "http://www.euroblind.org/working-areas/rehabilitation-vocational-training-and-employment/" </w:instrText>
      </w:r>
      <w:r w:rsidRPr="006933F9">
        <w:rPr>
          <w:rFonts w:cs="Times New Roman"/>
          <w:szCs w:val="24"/>
        </w:rPr>
        <w:fldChar w:fldCharType="separate"/>
      </w:r>
      <w:r w:rsidR="006933F9" w:rsidRPr="006933F9">
        <w:rPr>
          <w:rStyle w:val="Hyperlink"/>
          <w:rFonts w:cs="Times New Roman"/>
          <w:szCs w:val="24"/>
          <w:lang w:val="fi-FI"/>
        </w:rPr>
        <w:t>http://www.euroblind.org/working-areas/rehabilitation-vocational-training-and-employment/</w:t>
      </w:r>
      <w:r w:rsidRPr="006933F9">
        <w:rPr>
          <w:rFonts w:cs="Times New Roman"/>
          <w:szCs w:val="24"/>
        </w:rPr>
        <w:fldChar w:fldCharType="end"/>
      </w:r>
    </w:p>
    <w:p w:rsidR="006933F9" w:rsidRPr="006933F9" w:rsidRDefault="006933F9">
      <w:pPr>
        <w:pStyle w:val="Heading2"/>
        <w:rPr>
          <w:rFonts w:cs="Times New Roman"/>
          <w:szCs w:val="24"/>
          <w:lang w:val="fi-FI"/>
        </w:rPr>
      </w:pPr>
      <w:r w:rsidRPr="006933F9">
        <w:rPr>
          <w:rFonts w:cs="Times New Roman"/>
          <w:szCs w:val="24"/>
          <w:lang w:val="fi-FI"/>
        </w:rPr>
        <w:t>Näkymätöntä enemmistöä koskevan raportin käyttö</w:t>
      </w:r>
    </w:p>
    <w:p w:rsidR="006933F9" w:rsidRPr="002B1EA6" w:rsidRDefault="006933F9" w:rsidP="002B1EA6">
      <w:pPr>
        <w:rPr>
          <w:rFonts w:cs="Times New Roman"/>
          <w:szCs w:val="24"/>
          <w:lang w:val="fi-FI"/>
        </w:rPr>
      </w:pPr>
      <w:r w:rsidRPr="006933F9">
        <w:rPr>
          <w:rFonts w:cs="Times New Roman"/>
          <w:szCs w:val="24"/>
          <w:lang w:val="fi-FI"/>
        </w:rPr>
        <w:t>EBU:n verkkosivustolla on tapaustutkimuksia, jotka osoittavat, miten jäsenvaltiot ovat käyttäneet näkymätöntä enemmistöä koskevia raportteja menettelytapoihin vaikuttamiseen ja käytäntöjen muuttamiseen. EBU ottaa mielellään vastaan palautetta omista käyttötavoistasi.</w:t>
      </w:r>
    </w:p>
    <w:p w:rsidR="006933F9" w:rsidRPr="006933F9" w:rsidRDefault="006933F9">
      <w:pPr>
        <w:rPr>
          <w:rFonts w:cs="Times New Roman"/>
          <w:i/>
          <w:szCs w:val="24"/>
          <w:lang w:val="fi-FI"/>
        </w:rPr>
      </w:pPr>
    </w:p>
    <w:p w:rsidR="006933F9" w:rsidRPr="006933F9" w:rsidRDefault="006933F9">
      <w:pPr>
        <w:rPr>
          <w:rFonts w:cs="Times New Roman"/>
          <w:szCs w:val="24"/>
          <w:lang w:val="fi-FI"/>
        </w:rPr>
      </w:pPr>
      <w:r w:rsidRPr="006933F9">
        <w:rPr>
          <w:rFonts w:cs="Times New Roman"/>
          <w:i/>
          <w:szCs w:val="24"/>
          <w:lang w:val="fi-FI"/>
        </w:rPr>
        <w:t xml:space="preserve">Tämä opas on Euroopan yhteisön työllisyyttä ja sosiaalista yhteisvastuullisuutta edistävän Progress-ohjelman (2007–2013) tukema. </w:t>
      </w:r>
    </w:p>
    <w:p w:rsidR="006933F9" w:rsidRPr="006933F9" w:rsidRDefault="006933F9">
      <w:pPr>
        <w:spacing w:before="100" w:beforeAutospacing="1" w:after="100" w:afterAutospacing="1"/>
        <w:rPr>
          <w:rFonts w:cs="Times New Roman"/>
          <w:szCs w:val="24"/>
          <w:lang w:val="fi-FI"/>
        </w:rPr>
      </w:pPr>
      <w:r w:rsidRPr="006933F9">
        <w:rPr>
          <w:rFonts w:cs="Times New Roman"/>
          <w:i/>
          <w:szCs w:val="24"/>
          <w:lang w:val="fi-FI"/>
        </w:rPr>
        <w:t xml:space="preserve">Tämä ohjelma on Euroopan komission toteuttama. Sen perustamisen tarkoituksena on tukea rahallisesti Euroopan unionin työllisyyttä, sosiaalitoimia ja tasa-arvoa koskevien tavoitteiden käyttöönottoa ja siten edistää Eurooppa 2020 -strategian tavoitteiden saavuttamista näillä alueilla. </w:t>
      </w:r>
    </w:p>
    <w:p w:rsidR="006933F9" w:rsidRPr="006933F9" w:rsidRDefault="006933F9">
      <w:pPr>
        <w:spacing w:before="100" w:beforeAutospacing="1" w:after="100" w:afterAutospacing="1"/>
        <w:rPr>
          <w:rFonts w:cs="Times New Roman"/>
          <w:i/>
          <w:szCs w:val="24"/>
          <w:lang w:val="fi-FI"/>
        </w:rPr>
      </w:pPr>
      <w:r w:rsidRPr="006933F9">
        <w:rPr>
          <w:rFonts w:cs="Times New Roman"/>
          <w:i/>
          <w:szCs w:val="24"/>
          <w:lang w:val="fi-FI"/>
        </w:rPr>
        <w:t>Seitsemän vuoden mittainen ohjelma on suunnattu sidosryhmille, jotka voivat osallistua asianmukaisten ja tehokkaiden työllisyys- ja sosiaalilakien ja -käytäntöjen kehityksen muovaamiseen EU-27- ja EFTA-ETA-maissa sekä EU:n ehdokasmaissa ja mahdollisissa ehdokasmaissa.</w:t>
      </w:r>
    </w:p>
    <w:p w:rsidR="006933F9" w:rsidRPr="006933F9" w:rsidRDefault="006933F9">
      <w:pPr>
        <w:rPr>
          <w:rFonts w:cs="Times New Roman"/>
          <w:i/>
          <w:szCs w:val="24"/>
          <w:lang w:val="fi-FI"/>
        </w:rPr>
      </w:pPr>
      <w:r w:rsidRPr="006933F9">
        <w:rPr>
          <w:rFonts w:cs="Times New Roman"/>
          <w:i/>
          <w:szCs w:val="24"/>
          <w:lang w:val="fi-FI"/>
        </w:rPr>
        <w:t xml:space="preserve">Lisätietoa on osoitteessa </w:t>
      </w:r>
      <w:hyperlink r:id="rId9" w:history="1">
        <w:r w:rsidRPr="006933F9">
          <w:rPr>
            <w:rStyle w:val="Hyperlink"/>
            <w:rFonts w:cs="Times New Roman"/>
            <w:i/>
            <w:szCs w:val="24"/>
            <w:lang w:val="fi-FI"/>
          </w:rPr>
          <w:t>http://ec.europa.eu/progress</w:t>
        </w:r>
      </w:hyperlink>
    </w:p>
    <w:p w:rsidR="006933F9" w:rsidRPr="006933F9" w:rsidRDefault="006933F9">
      <w:pPr>
        <w:rPr>
          <w:rFonts w:cs="Times New Roman"/>
          <w:i/>
          <w:szCs w:val="24"/>
          <w:lang w:val="fi-FI"/>
        </w:rPr>
      </w:pPr>
    </w:p>
    <w:p w:rsidR="006933F9" w:rsidRPr="006933F9" w:rsidRDefault="006933F9">
      <w:pPr>
        <w:spacing w:after="0"/>
        <w:jc w:val="left"/>
        <w:rPr>
          <w:rFonts w:cs="Times New Roman"/>
          <w:szCs w:val="24"/>
          <w:lang w:val="fi-FI"/>
        </w:rPr>
      </w:pPr>
      <w:r w:rsidRPr="006933F9">
        <w:rPr>
          <w:rFonts w:cs="Times New Roman"/>
          <w:i/>
          <w:szCs w:val="24"/>
          <w:lang w:val="fi-FI"/>
        </w:rPr>
        <w:t>Tämän julkaisun sisältämät tiedot eivät välttämättä kuvasta Euroopan komission kantaa tai mielipidettä.</w:t>
      </w:r>
    </w:p>
    <w:sectPr w:rsidR="006933F9" w:rsidRPr="006933F9" w:rsidSect="003034BC">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3F9" w:rsidRPr="006933F9" w:rsidRDefault="006933F9">
      <w:pPr>
        <w:rPr>
          <w:rFonts w:cs="Times New Roman"/>
          <w:szCs w:val="24"/>
        </w:rPr>
      </w:pPr>
      <w:r w:rsidRPr="006933F9">
        <w:rPr>
          <w:rFonts w:cs="Times New Roman"/>
          <w:szCs w:val="24"/>
        </w:rPr>
        <w:separator/>
      </w:r>
    </w:p>
  </w:endnote>
  <w:endnote w:type="continuationSeparator" w:id="0">
    <w:p w:rsidR="006933F9" w:rsidRPr="006933F9" w:rsidRDefault="006933F9">
      <w:pPr>
        <w:rPr>
          <w:rFonts w:cs="Times New Roman"/>
          <w:szCs w:val="24"/>
        </w:rPr>
      </w:pPr>
      <w:r w:rsidRPr="006933F9">
        <w:rPr>
          <w:rFonts w:cs="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3F9" w:rsidRPr="006933F9" w:rsidRDefault="006933F9">
      <w:pPr>
        <w:rPr>
          <w:rFonts w:cs="Times New Roman"/>
          <w:szCs w:val="24"/>
        </w:rPr>
      </w:pPr>
      <w:r w:rsidRPr="006933F9">
        <w:rPr>
          <w:rFonts w:cs="Times New Roman"/>
          <w:szCs w:val="24"/>
        </w:rPr>
        <w:separator/>
      </w:r>
    </w:p>
  </w:footnote>
  <w:footnote w:type="continuationSeparator" w:id="0">
    <w:p w:rsidR="006933F9" w:rsidRPr="006933F9" w:rsidRDefault="006933F9">
      <w:pPr>
        <w:rPr>
          <w:rFonts w:cs="Times New Roman"/>
          <w:szCs w:val="24"/>
        </w:rPr>
      </w:pPr>
      <w:r w:rsidRPr="006933F9">
        <w:rPr>
          <w:rFonts w:cs="Times New Roman"/>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9212347E"/>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41A690B"/>
    <w:multiLevelType w:val="hybridMultilevel"/>
    <w:tmpl w:val="7D2A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B743D26"/>
    <w:multiLevelType w:val="hybridMultilevel"/>
    <w:tmpl w:val="40160A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644460B3"/>
    <w:multiLevelType w:val="multilevel"/>
    <w:tmpl w:val="CE8E925C"/>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72ED3F49"/>
    <w:multiLevelType w:val="hybridMultilevel"/>
    <w:tmpl w:val="3982B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3"/>
  </w:num>
  <w:num w:numId="6">
    <w:abstractNumId w:val="2"/>
  </w:num>
  <w:num w:numId="7">
    <w:abstractNumId w:val="5"/>
  </w:num>
  <w:num w:numId="8">
    <w:abstractNumId w:val="4"/>
  </w:num>
  <w:num w:numId="9">
    <w:abstractNumId w:val="4"/>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embedSystemFonts/>
  <w:proofState w:spelling="clean" w:grammar="clean"/>
  <w:stylePaneFormatFilter w:val="3F01"/>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3974"/>
    <w:rsid w:val="00073977"/>
    <w:rsid w:val="000A5E8F"/>
    <w:rsid w:val="000E3EE1"/>
    <w:rsid w:val="0012521C"/>
    <w:rsid w:val="00140462"/>
    <w:rsid w:val="00151343"/>
    <w:rsid w:val="00183DA0"/>
    <w:rsid w:val="00203974"/>
    <w:rsid w:val="0028333C"/>
    <w:rsid w:val="002B1EA6"/>
    <w:rsid w:val="002B20F2"/>
    <w:rsid w:val="002E6AC6"/>
    <w:rsid w:val="003034BC"/>
    <w:rsid w:val="00335C3E"/>
    <w:rsid w:val="00353796"/>
    <w:rsid w:val="00397A0E"/>
    <w:rsid w:val="003C1196"/>
    <w:rsid w:val="00413E04"/>
    <w:rsid w:val="004149CB"/>
    <w:rsid w:val="0045727A"/>
    <w:rsid w:val="0051600B"/>
    <w:rsid w:val="0053257B"/>
    <w:rsid w:val="00544DBE"/>
    <w:rsid w:val="005773DF"/>
    <w:rsid w:val="005C2FF5"/>
    <w:rsid w:val="005C7960"/>
    <w:rsid w:val="005F3CEE"/>
    <w:rsid w:val="00602A42"/>
    <w:rsid w:val="00617685"/>
    <w:rsid w:val="0066549B"/>
    <w:rsid w:val="006933F9"/>
    <w:rsid w:val="006934E8"/>
    <w:rsid w:val="006E35AA"/>
    <w:rsid w:val="007253ED"/>
    <w:rsid w:val="00752A10"/>
    <w:rsid w:val="00753F30"/>
    <w:rsid w:val="00797CC1"/>
    <w:rsid w:val="007C344F"/>
    <w:rsid w:val="00873A1B"/>
    <w:rsid w:val="008A07F8"/>
    <w:rsid w:val="008B6775"/>
    <w:rsid w:val="00920B36"/>
    <w:rsid w:val="00933988"/>
    <w:rsid w:val="00937E12"/>
    <w:rsid w:val="00971CC1"/>
    <w:rsid w:val="009826AE"/>
    <w:rsid w:val="00982F63"/>
    <w:rsid w:val="00986A32"/>
    <w:rsid w:val="009C1D2D"/>
    <w:rsid w:val="00A34923"/>
    <w:rsid w:val="00AB0E36"/>
    <w:rsid w:val="00AE2514"/>
    <w:rsid w:val="00B513F8"/>
    <w:rsid w:val="00BA1151"/>
    <w:rsid w:val="00BE5C55"/>
    <w:rsid w:val="00BF27E3"/>
    <w:rsid w:val="00C213FD"/>
    <w:rsid w:val="00C41BDF"/>
    <w:rsid w:val="00CA0993"/>
    <w:rsid w:val="00CD2E86"/>
    <w:rsid w:val="00D434D2"/>
    <w:rsid w:val="00D455FF"/>
    <w:rsid w:val="00D543F0"/>
    <w:rsid w:val="00D54441"/>
    <w:rsid w:val="00D75E10"/>
    <w:rsid w:val="00D816C6"/>
    <w:rsid w:val="00DF1393"/>
    <w:rsid w:val="00EC3830"/>
    <w:rsid w:val="00F3140C"/>
    <w:rsid w:val="00F52847"/>
    <w:rsid w:val="00FD2AD4"/>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4BC"/>
    <w:pPr>
      <w:spacing w:after="120"/>
      <w:jc w:val="both"/>
    </w:pPr>
    <w:rPr>
      <w:rFonts w:ascii="Arial" w:hAnsi="Arial" w:cs="Arial"/>
      <w:snapToGrid w:val="0"/>
      <w:sz w:val="28"/>
      <w:szCs w:val="28"/>
      <w:lang w:eastAsia="ja-JP"/>
    </w:rPr>
  </w:style>
  <w:style w:type="paragraph" w:styleId="Heading1">
    <w:name w:val="heading 1"/>
    <w:basedOn w:val="Heading2"/>
    <w:next w:val="Normal"/>
    <w:uiPriority w:val="9"/>
    <w:qFormat/>
    <w:rsid w:val="003034BC"/>
    <w:pPr>
      <w:numPr>
        <w:ilvl w:val="0"/>
      </w:numPr>
      <w:spacing w:before="600" w:after="360"/>
      <w:ind w:left="357" w:hanging="357"/>
      <w:outlineLvl w:val="0"/>
    </w:pPr>
    <w:rPr>
      <w:sz w:val="36"/>
      <w:szCs w:val="36"/>
    </w:rPr>
  </w:style>
  <w:style w:type="paragraph" w:styleId="Heading2">
    <w:name w:val="heading 2"/>
    <w:basedOn w:val="Heading3"/>
    <w:next w:val="Normal"/>
    <w:uiPriority w:val="9"/>
    <w:qFormat/>
    <w:rsid w:val="003034BC"/>
    <w:pPr>
      <w:numPr>
        <w:ilvl w:val="1"/>
        <w:numId w:val="8"/>
      </w:numPr>
      <w:tabs>
        <w:tab w:val="left" w:pos="1134"/>
      </w:tabs>
      <w:spacing w:before="480" w:after="240"/>
      <w:ind w:left="788" w:hanging="431"/>
      <w:outlineLvl w:val="1"/>
    </w:pPr>
  </w:style>
  <w:style w:type="paragraph" w:styleId="Heading3">
    <w:name w:val="heading 3"/>
    <w:basedOn w:val="Normal"/>
    <w:next w:val="Normal"/>
    <w:link w:val="Heading3Char"/>
    <w:uiPriority w:val="9"/>
    <w:qFormat/>
    <w:rsid w:val="003034BC"/>
    <w:pPr>
      <w:keepNext/>
      <w:spacing w:after="100"/>
      <w:outlineLvl w:val="2"/>
    </w:pPr>
    <w:rPr>
      <w:b/>
      <w:sz w:val="32"/>
    </w:rPr>
  </w:style>
  <w:style w:type="paragraph" w:styleId="Heading4">
    <w:name w:val="heading 4"/>
    <w:basedOn w:val="Normal"/>
    <w:next w:val="Normal"/>
    <w:link w:val="Heading4Char"/>
    <w:uiPriority w:val="9"/>
    <w:qFormat/>
    <w:rsid w:val="003034BC"/>
    <w:pPr>
      <w:keepNext/>
      <w:spacing w:after="80"/>
      <w:outlineLvl w:val="3"/>
    </w:pPr>
    <w:rPr>
      <w:b/>
    </w:rPr>
  </w:style>
  <w:style w:type="paragraph" w:styleId="Heading5">
    <w:name w:val="heading 5"/>
    <w:basedOn w:val="Normal"/>
    <w:next w:val="Normal"/>
    <w:link w:val="Heading5Char"/>
    <w:uiPriority w:val="9"/>
    <w:qFormat/>
    <w:rsid w:val="003034BC"/>
    <w:pPr>
      <w:keepNext/>
      <w:spacing w:after="60"/>
      <w:outlineLvl w:val="4"/>
    </w:pPr>
    <w:rPr>
      <w:b/>
    </w:rPr>
  </w:style>
  <w:style w:type="paragraph" w:styleId="Heading6">
    <w:name w:val="heading 6"/>
    <w:basedOn w:val="Normal"/>
    <w:next w:val="Normal"/>
    <w:link w:val="Heading6Char"/>
    <w:uiPriority w:val="9"/>
    <w:qFormat/>
    <w:rsid w:val="003034BC"/>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locked/>
    <w:rsid w:val="003034BC"/>
    <w:rPr>
      <w:rFonts w:ascii="Arial" w:hAnsi="Arial"/>
      <w:b/>
      <w:sz w:val="36"/>
    </w:rPr>
  </w:style>
  <w:style w:type="character" w:customStyle="1" w:styleId="Heading2Char">
    <w:name w:val="Heading 2 Char"/>
    <w:uiPriority w:val="9"/>
    <w:locked/>
    <w:rsid w:val="003034BC"/>
    <w:rPr>
      <w:rFonts w:ascii="Arial" w:hAnsi="Arial"/>
      <w:b/>
      <w:sz w:val="28"/>
    </w:rPr>
  </w:style>
  <w:style w:type="character" w:customStyle="1" w:styleId="Heading3Char">
    <w:name w:val="Heading 3 Char"/>
    <w:link w:val="Heading3"/>
    <w:uiPriority w:val="9"/>
    <w:semiHidden/>
    <w:rsid w:val="003034BC"/>
    <w:rPr>
      <w:rFonts w:ascii="Cambria" w:eastAsia="MS Gothic" w:hAnsi="Cambria" w:cs="Times New Roman"/>
      <w:b/>
      <w:bCs/>
      <w:snapToGrid/>
      <w:sz w:val="26"/>
      <w:szCs w:val="26"/>
    </w:rPr>
  </w:style>
  <w:style w:type="character" w:customStyle="1" w:styleId="Heading4Char">
    <w:name w:val="Heading 4 Char"/>
    <w:link w:val="Heading4"/>
    <w:uiPriority w:val="9"/>
    <w:semiHidden/>
    <w:rsid w:val="003034BC"/>
    <w:rPr>
      <w:rFonts w:ascii="Calibri" w:eastAsia="MS Mincho" w:hAnsi="Calibri" w:cs="Times New Roman"/>
      <w:b/>
      <w:bCs/>
      <w:snapToGrid/>
      <w:sz w:val="28"/>
      <w:szCs w:val="28"/>
    </w:rPr>
  </w:style>
  <w:style w:type="character" w:customStyle="1" w:styleId="Heading5Char">
    <w:name w:val="Heading 5 Char"/>
    <w:link w:val="Heading5"/>
    <w:uiPriority w:val="9"/>
    <w:semiHidden/>
    <w:rsid w:val="003034BC"/>
    <w:rPr>
      <w:rFonts w:ascii="Calibri" w:eastAsia="MS Mincho" w:hAnsi="Calibri" w:cs="Times New Roman"/>
      <w:b/>
      <w:bCs/>
      <w:i/>
      <w:iCs/>
      <w:snapToGrid/>
      <w:sz w:val="26"/>
      <w:szCs w:val="26"/>
    </w:rPr>
  </w:style>
  <w:style w:type="character" w:customStyle="1" w:styleId="Heading6Char">
    <w:name w:val="Heading 6 Char"/>
    <w:link w:val="Heading6"/>
    <w:uiPriority w:val="9"/>
    <w:semiHidden/>
    <w:rsid w:val="003034BC"/>
    <w:rPr>
      <w:rFonts w:ascii="Calibri" w:eastAsia="MS Mincho" w:hAnsi="Calibri" w:cs="Times New Roman"/>
      <w:b/>
      <w:bCs/>
      <w:snapToGrid/>
      <w:sz w:val="22"/>
      <w:szCs w:val="22"/>
    </w:rPr>
  </w:style>
  <w:style w:type="paragraph" w:customStyle="1" w:styleId="Subheading">
    <w:name w:val="Subheading"/>
    <w:basedOn w:val="Normal"/>
    <w:next w:val="Normal"/>
    <w:rsid w:val="003034BC"/>
    <w:pPr>
      <w:keepNext/>
    </w:pPr>
    <w:rPr>
      <w:b/>
      <w:sz w:val="32"/>
    </w:rPr>
  </w:style>
  <w:style w:type="paragraph" w:styleId="Title">
    <w:name w:val="Title"/>
    <w:basedOn w:val="Normal"/>
    <w:next w:val="Normal"/>
    <w:uiPriority w:val="10"/>
    <w:qFormat/>
    <w:rsid w:val="003034BC"/>
    <w:pPr>
      <w:keepNext/>
      <w:spacing w:before="240" w:after="60"/>
      <w:jc w:val="center"/>
      <w:outlineLvl w:val="0"/>
    </w:pPr>
    <w:rPr>
      <w:b/>
      <w:bCs/>
      <w:kern w:val="28"/>
      <w:sz w:val="40"/>
      <w:szCs w:val="40"/>
    </w:rPr>
  </w:style>
  <w:style w:type="character" w:customStyle="1" w:styleId="TitleChar">
    <w:name w:val="Title Char"/>
    <w:uiPriority w:val="10"/>
    <w:locked/>
    <w:rsid w:val="003034BC"/>
    <w:rPr>
      <w:rFonts w:ascii="Arial" w:hAnsi="Arial"/>
      <w:b/>
      <w:kern w:val="28"/>
      <w:sz w:val="40"/>
    </w:rPr>
  </w:style>
  <w:style w:type="paragraph" w:styleId="Subtitle">
    <w:name w:val="Subtitle"/>
    <w:basedOn w:val="Normal"/>
    <w:next w:val="Normal"/>
    <w:link w:val="SubtitleChar"/>
    <w:uiPriority w:val="11"/>
    <w:qFormat/>
    <w:rsid w:val="003034BC"/>
    <w:pPr>
      <w:keepNext/>
      <w:spacing w:before="60" w:after="60"/>
      <w:jc w:val="center"/>
    </w:pPr>
    <w:rPr>
      <w:b/>
      <w:sz w:val="40"/>
    </w:rPr>
  </w:style>
  <w:style w:type="character" w:customStyle="1" w:styleId="SubtitleChar">
    <w:name w:val="Subtitle Char"/>
    <w:link w:val="Subtitle"/>
    <w:uiPriority w:val="11"/>
    <w:locked/>
    <w:rsid w:val="003034BC"/>
    <w:rPr>
      <w:rFonts w:ascii="Arial" w:hAnsi="Arial"/>
      <w:b/>
      <w:sz w:val="28"/>
    </w:rPr>
  </w:style>
  <w:style w:type="paragraph" w:styleId="Quote">
    <w:name w:val="Quote"/>
    <w:basedOn w:val="Normal"/>
    <w:link w:val="QuoteChar"/>
    <w:uiPriority w:val="29"/>
    <w:qFormat/>
    <w:rsid w:val="003034BC"/>
    <w:pPr>
      <w:ind w:left="794" w:right="794"/>
    </w:pPr>
  </w:style>
  <w:style w:type="character" w:customStyle="1" w:styleId="QuoteChar">
    <w:name w:val="Quote Char"/>
    <w:link w:val="Quote"/>
    <w:uiPriority w:val="29"/>
    <w:rsid w:val="003034BC"/>
    <w:rPr>
      <w:rFonts w:ascii="Arial" w:hAnsi="Arial" w:cs="Arial"/>
      <w:i/>
      <w:iCs/>
      <w:snapToGrid/>
      <w:color w:val="000000"/>
      <w:sz w:val="28"/>
      <w:szCs w:val="28"/>
    </w:rPr>
  </w:style>
  <w:style w:type="paragraph" w:styleId="Caption">
    <w:name w:val="caption"/>
    <w:basedOn w:val="Normal"/>
    <w:next w:val="Normal"/>
    <w:uiPriority w:val="35"/>
    <w:qFormat/>
    <w:rsid w:val="003034BC"/>
    <w:rPr>
      <w:b/>
      <w:bCs/>
      <w:sz w:val="20"/>
    </w:rPr>
  </w:style>
  <w:style w:type="paragraph" w:styleId="ListBullet">
    <w:name w:val="List Bullet"/>
    <w:basedOn w:val="Normal"/>
    <w:uiPriority w:val="99"/>
    <w:rsid w:val="003034BC"/>
    <w:pPr>
      <w:numPr>
        <w:numId w:val="3"/>
      </w:numPr>
      <w:tabs>
        <w:tab w:val="left" w:pos="567"/>
      </w:tabs>
    </w:pPr>
  </w:style>
  <w:style w:type="paragraph" w:styleId="ListNumber">
    <w:name w:val="List Number"/>
    <w:basedOn w:val="Normal"/>
    <w:uiPriority w:val="99"/>
    <w:rsid w:val="003034BC"/>
    <w:pPr>
      <w:numPr>
        <w:numId w:val="4"/>
      </w:numPr>
      <w:tabs>
        <w:tab w:val="left" w:pos="851"/>
      </w:tabs>
    </w:pPr>
  </w:style>
  <w:style w:type="paragraph" w:styleId="TableofFigures">
    <w:name w:val="table of figures"/>
    <w:basedOn w:val="Normal"/>
    <w:next w:val="Normal"/>
    <w:uiPriority w:val="99"/>
    <w:semiHidden/>
    <w:rsid w:val="003034BC"/>
  </w:style>
  <w:style w:type="paragraph" w:customStyle="1" w:styleId="Style2">
    <w:name w:val="Style2"/>
    <w:basedOn w:val="Normal"/>
    <w:rsid w:val="003034BC"/>
    <w:rPr>
      <w:b/>
      <w:sz w:val="32"/>
    </w:rPr>
  </w:style>
  <w:style w:type="paragraph" w:customStyle="1" w:styleId="Heading11">
    <w:name w:val="Heading 11"/>
    <w:basedOn w:val="Normal"/>
    <w:autoRedefine/>
    <w:rsid w:val="003034BC"/>
    <w:rPr>
      <w:b/>
      <w:sz w:val="32"/>
    </w:rPr>
  </w:style>
  <w:style w:type="character" w:customStyle="1" w:styleId="ListNumberChar">
    <w:name w:val="List Number Char"/>
    <w:locked/>
    <w:rsid w:val="003034BC"/>
    <w:rPr>
      <w:rFonts w:ascii="Arial" w:hAnsi="Arial"/>
      <w:sz w:val="28"/>
    </w:rPr>
  </w:style>
  <w:style w:type="paragraph" w:styleId="Header">
    <w:name w:val="header"/>
    <w:basedOn w:val="Normal"/>
    <w:link w:val="HeaderChar"/>
    <w:uiPriority w:val="99"/>
    <w:rsid w:val="003034BC"/>
    <w:pPr>
      <w:tabs>
        <w:tab w:val="center" w:pos="4513"/>
        <w:tab w:val="right" w:pos="9026"/>
      </w:tabs>
    </w:pPr>
  </w:style>
  <w:style w:type="character" w:customStyle="1" w:styleId="HeaderChar">
    <w:name w:val="Header Char"/>
    <w:link w:val="Header"/>
    <w:uiPriority w:val="99"/>
    <w:locked/>
    <w:rsid w:val="003034BC"/>
    <w:rPr>
      <w:rFonts w:ascii="Arial" w:hAnsi="Arial"/>
      <w:sz w:val="28"/>
    </w:rPr>
  </w:style>
  <w:style w:type="paragraph" w:styleId="Footer">
    <w:name w:val="footer"/>
    <w:basedOn w:val="Normal"/>
    <w:link w:val="FooterChar"/>
    <w:uiPriority w:val="99"/>
    <w:rsid w:val="003034BC"/>
    <w:pPr>
      <w:tabs>
        <w:tab w:val="center" w:pos="4513"/>
        <w:tab w:val="right" w:pos="9026"/>
      </w:tabs>
    </w:pPr>
  </w:style>
  <w:style w:type="character" w:customStyle="1" w:styleId="FooterChar">
    <w:name w:val="Footer Char"/>
    <w:link w:val="Footer"/>
    <w:uiPriority w:val="99"/>
    <w:locked/>
    <w:rsid w:val="003034BC"/>
    <w:rPr>
      <w:rFonts w:ascii="Arial" w:hAnsi="Arial"/>
      <w:sz w:val="28"/>
    </w:rPr>
  </w:style>
  <w:style w:type="paragraph" w:styleId="BalloonText">
    <w:name w:val="Balloon Text"/>
    <w:basedOn w:val="Normal"/>
    <w:link w:val="BalloonTextChar"/>
    <w:uiPriority w:val="99"/>
    <w:rsid w:val="003034BC"/>
    <w:rPr>
      <w:rFonts w:ascii="Times New Roman" w:hAnsi="Times New Roman" w:cs="Times New Roman"/>
      <w:sz w:val="16"/>
      <w:szCs w:val="16"/>
    </w:rPr>
  </w:style>
  <w:style w:type="character" w:customStyle="1" w:styleId="BalloonTextChar">
    <w:name w:val="Balloon Text Char"/>
    <w:link w:val="BalloonText"/>
    <w:uiPriority w:val="99"/>
    <w:locked/>
    <w:rsid w:val="003034BC"/>
    <w:rPr>
      <w:rFonts w:ascii="Times New Roman" w:hAnsi="Times New Roman"/>
      <w:sz w:val="16"/>
    </w:rPr>
  </w:style>
  <w:style w:type="paragraph" w:styleId="ListParagraph">
    <w:name w:val="List Paragraph"/>
    <w:basedOn w:val="Normal"/>
    <w:uiPriority w:val="34"/>
    <w:qFormat/>
    <w:rsid w:val="003034BC"/>
    <w:pPr>
      <w:ind w:left="720"/>
      <w:contextualSpacing/>
    </w:pPr>
  </w:style>
  <w:style w:type="character" w:styleId="Hyperlink">
    <w:name w:val="Hyperlink"/>
    <w:uiPriority w:val="99"/>
    <w:rsid w:val="003034BC"/>
    <w:rPr>
      <w:color w:val="0000FF"/>
      <w:u w:val="single"/>
    </w:rPr>
  </w:style>
  <w:style w:type="character" w:customStyle="1" w:styleId="tw4winMark">
    <w:name w:val="tw4winMark"/>
    <w:uiPriority w:val="99"/>
    <w:rsid w:val="003034BC"/>
    <w:rPr>
      <w:rFonts w:ascii="Courier New" w:hAnsi="Courier New"/>
      <w:vanish/>
      <w:color w:val="800080"/>
      <w:sz w:val="24"/>
      <w:vertAlign w:val="subscript"/>
    </w:rPr>
  </w:style>
  <w:style w:type="character" w:styleId="FollowedHyperlink">
    <w:name w:val="FollowedHyperlink"/>
    <w:uiPriority w:val="99"/>
    <w:rsid w:val="003034BC"/>
    <w:rPr>
      <w:color w:val="800080"/>
      <w:u w:val="single"/>
    </w:rPr>
  </w:style>
  <w:style w:type="character" w:customStyle="1" w:styleId="tw4winInternal">
    <w:name w:val="tw4winInternal"/>
    <w:uiPriority w:val="99"/>
    <w:rsid w:val="003034BC"/>
    <w:rPr>
      <w:rFonts w:ascii="Courier New" w:hAnsi="Courier New"/>
      <w:noProof/>
      <w:color w:val="FF0000"/>
    </w:rPr>
  </w:style>
  <w:style w:type="character" w:styleId="CommentReference">
    <w:name w:val="annotation reference"/>
    <w:uiPriority w:val="99"/>
    <w:rsid w:val="003034BC"/>
    <w:rPr>
      <w:sz w:val="16"/>
    </w:rPr>
  </w:style>
  <w:style w:type="paragraph" w:styleId="CommentText">
    <w:name w:val="annotation text"/>
    <w:basedOn w:val="Normal"/>
    <w:link w:val="CommentTextChar"/>
    <w:uiPriority w:val="99"/>
    <w:rsid w:val="003034BC"/>
    <w:rPr>
      <w:sz w:val="20"/>
      <w:szCs w:val="20"/>
    </w:rPr>
  </w:style>
  <w:style w:type="character" w:customStyle="1" w:styleId="CommentTextChar">
    <w:name w:val="Comment Text Char"/>
    <w:link w:val="CommentText"/>
    <w:uiPriority w:val="99"/>
    <w:locked/>
    <w:rsid w:val="003034BC"/>
    <w:rPr>
      <w:rFonts w:ascii="Arial" w:hAnsi="Arial"/>
    </w:rPr>
  </w:style>
  <w:style w:type="paragraph" w:styleId="CommentSubject">
    <w:name w:val="annotation subject"/>
    <w:basedOn w:val="CommentText"/>
    <w:next w:val="CommentText"/>
    <w:link w:val="CommentSubjectChar"/>
    <w:uiPriority w:val="99"/>
    <w:rsid w:val="003034BC"/>
    <w:rPr>
      <w:b/>
      <w:bCs/>
    </w:rPr>
  </w:style>
  <w:style w:type="character" w:customStyle="1" w:styleId="CommentSubjectChar">
    <w:name w:val="Comment Subject Char"/>
    <w:link w:val="CommentSubject"/>
    <w:uiPriority w:val="99"/>
    <w:locked/>
    <w:rsid w:val="003034BC"/>
    <w:rPr>
      <w:rFonts w:ascii="Arial" w:hAnsi="Arial"/>
      <w:b/>
    </w:rPr>
  </w:style>
  <w:style w:type="character" w:customStyle="1" w:styleId="tw4winError">
    <w:name w:val="tw4winError"/>
    <w:uiPriority w:val="99"/>
    <w:rsid w:val="003034BC"/>
    <w:rPr>
      <w:rFonts w:ascii="Courier New" w:hAnsi="Courier New"/>
      <w:color w:val="00FF00"/>
      <w:sz w:val="40"/>
    </w:rPr>
  </w:style>
  <w:style w:type="character" w:customStyle="1" w:styleId="tw4winTerm">
    <w:name w:val="tw4winTerm"/>
    <w:uiPriority w:val="99"/>
    <w:rsid w:val="003034BC"/>
    <w:rPr>
      <w:color w:val="0000FF"/>
    </w:rPr>
  </w:style>
  <w:style w:type="character" w:customStyle="1" w:styleId="tw4winPopup">
    <w:name w:val="tw4winPopup"/>
    <w:uiPriority w:val="99"/>
    <w:rsid w:val="003034BC"/>
    <w:rPr>
      <w:rFonts w:ascii="Courier New" w:hAnsi="Courier New"/>
      <w:noProof/>
      <w:color w:val="008000"/>
    </w:rPr>
  </w:style>
  <w:style w:type="character" w:customStyle="1" w:styleId="tw4winJump">
    <w:name w:val="tw4winJump"/>
    <w:uiPriority w:val="99"/>
    <w:rsid w:val="003034BC"/>
    <w:rPr>
      <w:rFonts w:ascii="Courier New" w:hAnsi="Courier New"/>
      <w:noProof/>
      <w:color w:val="008080"/>
    </w:rPr>
  </w:style>
  <w:style w:type="character" w:customStyle="1" w:styleId="tw4winExternal">
    <w:name w:val="tw4winExternal"/>
    <w:uiPriority w:val="99"/>
    <w:rsid w:val="003034BC"/>
    <w:rPr>
      <w:rFonts w:ascii="Courier New" w:hAnsi="Courier New"/>
      <w:noProof/>
      <w:color w:val="808080"/>
    </w:rPr>
  </w:style>
  <w:style w:type="character" w:customStyle="1" w:styleId="DONOTTRANSLATE">
    <w:name w:val="DO_NOT_TRANSLATE"/>
    <w:uiPriority w:val="99"/>
    <w:rsid w:val="003034BC"/>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pro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664</Words>
  <Characters>5701</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6353</CharactersWithSpaces>
  <SharedDoc>false</SharedDoc>
  <HLinks>
    <vt:vector size="12" baseType="variant">
      <vt:variant>
        <vt:i4>5374024</vt:i4>
      </vt:variant>
      <vt:variant>
        <vt:i4>3</vt:i4>
      </vt:variant>
      <vt:variant>
        <vt:i4>0</vt:i4>
      </vt:variant>
      <vt:variant>
        <vt:i4>5</vt:i4>
      </vt:variant>
      <vt:variant>
        <vt:lpwstr>http://ec.europa.eu/progress</vt:lpwstr>
      </vt:variant>
      <vt:variant>
        <vt:lpwstr/>
      </vt:variant>
      <vt:variant>
        <vt:i4>393225</vt:i4>
      </vt:variant>
      <vt:variant>
        <vt:i4>0</vt:i4>
      </vt:variant>
      <vt:variant>
        <vt:i4>0</vt:i4>
      </vt:variant>
      <vt:variant>
        <vt:i4>5</vt:i4>
      </vt:variant>
      <vt:variant>
        <vt:lpwstr>http://www.euroblind.org/working-areas/rehabilitation-vocational-training-and-employment/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PSimkiss</dc:creator>
  <cp:lastModifiedBy>ETLS</cp:lastModifiedBy>
  <cp:revision>3</cp:revision>
  <dcterms:created xsi:type="dcterms:W3CDTF">2013-11-21T21:05:00Z</dcterms:created>
  <dcterms:modified xsi:type="dcterms:W3CDTF">2013-11-21T21:20:00Z</dcterms:modified>
</cp:coreProperties>
</file>