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988" w:rsidRPr="001F38DB" w:rsidRDefault="00855988">
      <w:pPr>
        <w:pStyle w:val="Header"/>
        <w:rPr>
          <w:rFonts w:cs="Times New Roman"/>
          <w:szCs w:val="24"/>
        </w:rPr>
      </w:pPr>
    </w:p>
    <w:p w:rsidR="00855988" w:rsidRPr="001F38DB" w:rsidRDefault="00855988">
      <w:pPr>
        <w:pStyle w:val="Header"/>
        <w:rPr>
          <w:rFonts w:cs="Times New Roman"/>
          <w:szCs w:val="24"/>
        </w:rPr>
      </w:pPr>
    </w:p>
    <w:p w:rsidR="00855988" w:rsidRPr="001F38DB" w:rsidRDefault="00855988">
      <w:pPr>
        <w:rPr>
          <w:rFonts w:cs="Times New Roman"/>
          <w:szCs w:val="24"/>
        </w:rPr>
      </w:pPr>
    </w:p>
    <w:p w:rsidR="00855988" w:rsidRPr="001F38DB" w:rsidRDefault="00855988">
      <w:pPr>
        <w:rPr>
          <w:rFonts w:cs="Times New Roman"/>
          <w:szCs w:val="24"/>
        </w:rPr>
      </w:pPr>
    </w:p>
    <w:p w:rsidR="00855988" w:rsidRPr="001F38DB" w:rsidRDefault="00855988">
      <w:pPr>
        <w:pStyle w:val="Title"/>
        <w:rPr>
          <w:rFonts w:cs="Times New Roman"/>
          <w:bCs w:val="0"/>
          <w:szCs w:val="24"/>
        </w:rPr>
      </w:pPr>
      <w:r w:rsidRPr="001F38DB">
        <w:rPr>
          <w:rFonts w:cs="Times New Roman"/>
          <w:bCs w:val="0"/>
          <w:szCs w:val="24"/>
          <w:lang w:val="lt-LT"/>
        </w:rPr>
        <w:t>PASLĖPTA DAUGUMA – vadovas</w:t>
      </w:r>
    </w:p>
    <w:p w:rsidR="00855988" w:rsidRPr="001F38DB" w:rsidRDefault="00855988">
      <w:pPr>
        <w:rPr>
          <w:rFonts w:cs="Times New Roman"/>
          <w:szCs w:val="24"/>
        </w:rPr>
      </w:pPr>
    </w:p>
    <w:p w:rsidR="00855988" w:rsidRPr="001F38DB" w:rsidRDefault="00855988">
      <w:pPr>
        <w:pStyle w:val="Subtitle"/>
        <w:rPr>
          <w:rFonts w:cs="Times New Roman"/>
          <w:szCs w:val="24"/>
        </w:rPr>
      </w:pPr>
      <w:r w:rsidRPr="001F38DB">
        <w:rPr>
          <w:rFonts w:cs="Times New Roman"/>
          <w:szCs w:val="24"/>
          <w:lang w:val="lt-LT"/>
        </w:rPr>
        <w:t>Aklųjų ir silpnaregių ekonominio neaktyvumo apžvalga</w:t>
      </w:r>
    </w:p>
    <w:p w:rsidR="00855988" w:rsidRPr="001F38DB" w:rsidRDefault="00855988">
      <w:pPr>
        <w:jc w:val="center"/>
        <w:rPr>
          <w:rFonts w:cs="Times New Roman"/>
          <w:sz w:val="32"/>
          <w:szCs w:val="24"/>
        </w:rPr>
      </w:pPr>
    </w:p>
    <w:p w:rsidR="00855988" w:rsidRPr="001F38DB" w:rsidRDefault="00855988">
      <w:pPr>
        <w:jc w:val="center"/>
        <w:rPr>
          <w:rFonts w:cs="Times New Roman"/>
          <w:sz w:val="32"/>
          <w:szCs w:val="24"/>
        </w:rPr>
      </w:pPr>
    </w:p>
    <w:p w:rsidR="00855988" w:rsidRPr="001F38DB" w:rsidRDefault="00855988">
      <w:pPr>
        <w:jc w:val="center"/>
        <w:rPr>
          <w:rFonts w:cs="Times New Roman"/>
          <w:sz w:val="32"/>
          <w:szCs w:val="24"/>
        </w:rPr>
      </w:pPr>
    </w:p>
    <w:p w:rsidR="00855988" w:rsidRPr="001F38DB" w:rsidRDefault="00855988">
      <w:pPr>
        <w:jc w:val="center"/>
        <w:rPr>
          <w:rFonts w:cs="Times New Roman"/>
          <w:b/>
          <w:sz w:val="32"/>
          <w:szCs w:val="24"/>
        </w:rPr>
      </w:pPr>
      <w:r w:rsidRPr="001F38DB">
        <w:rPr>
          <w:rFonts w:cs="Times New Roman"/>
          <w:b/>
          <w:sz w:val="32"/>
          <w:szCs w:val="24"/>
          <w:lang w:val="lt-LT"/>
        </w:rPr>
        <w:t>Parengė</w:t>
      </w:r>
    </w:p>
    <w:p w:rsidR="00855988" w:rsidRPr="001F38DB" w:rsidRDefault="00855988">
      <w:pPr>
        <w:spacing w:after="0"/>
        <w:jc w:val="center"/>
        <w:rPr>
          <w:rFonts w:cs="Times New Roman"/>
          <w:b/>
          <w:sz w:val="32"/>
          <w:szCs w:val="24"/>
        </w:rPr>
      </w:pPr>
      <w:r w:rsidRPr="001F38DB">
        <w:rPr>
          <w:rFonts w:cs="Times New Roman"/>
          <w:b/>
          <w:sz w:val="32"/>
          <w:szCs w:val="24"/>
          <w:lang w:val="lt-LT"/>
        </w:rPr>
        <w:t>Philippa Simkiss ir Fred Reid</w:t>
      </w:r>
    </w:p>
    <w:p w:rsidR="00855988" w:rsidRPr="001F38DB" w:rsidRDefault="00855988">
      <w:pPr>
        <w:jc w:val="center"/>
        <w:rPr>
          <w:rFonts w:cs="Times New Roman"/>
          <w:b/>
          <w:sz w:val="32"/>
          <w:szCs w:val="24"/>
        </w:rPr>
      </w:pPr>
    </w:p>
    <w:p w:rsidR="00855988" w:rsidRPr="001F38DB" w:rsidRDefault="00855988">
      <w:pPr>
        <w:jc w:val="center"/>
        <w:rPr>
          <w:rFonts w:cs="Times New Roman"/>
          <w:b/>
          <w:sz w:val="32"/>
          <w:szCs w:val="24"/>
        </w:rPr>
      </w:pPr>
      <w:r w:rsidRPr="001F38DB">
        <w:rPr>
          <w:rFonts w:cs="Times New Roman"/>
          <w:b/>
          <w:sz w:val="32"/>
          <w:szCs w:val="24"/>
        </w:rPr>
        <w:t>2013</w:t>
      </w:r>
    </w:p>
    <w:p w:rsidR="00855988" w:rsidRPr="001F38DB" w:rsidRDefault="00855988">
      <w:pPr>
        <w:rPr>
          <w:rFonts w:cs="Times New Roman"/>
          <w:szCs w:val="24"/>
        </w:rPr>
      </w:pPr>
    </w:p>
    <w:p w:rsidR="00855988" w:rsidRPr="001F38DB" w:rsidRDefault="00855988">
      <w:pPr>
        <w:rPr>
          <w:rFonts w:cs="Times New Roman"/>
          <w:szCs w:val="24"/>
        </w:rPr>
      </w:pPr>
    </w:p>
    <w:p w:rsidR="00855988" w:rsidRPr="001F38DB" w:rsidRDefault="00855988">
      <w:pPr>
        <w:rPr>
          <w:rFonts w:cs="Times New Roman"/>
          <w:szCs w:val="24"/>
        </w:rPr>
      </w:pPr>
      <w:r>
        <w:rPr>
          <w:noProof/>
          <w:snapToGrid/>
          <w:lang w:val="en-US"/>
        </w:rPr>
        <w:pict>
          <v:group id="_x0000_s1026" style="position:absolute;left:0;text-align:left;margin-left:0;margin-top:106.95pt;width:594.65pt;height:118.65pt;z-index:251657728;mso-position-horizontal:center;mso-position-horizontal-relative:margin" coordorigin="94,11795" coordsize="11893,2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ogo RNIB supporting blind and partially sighted peopleRegistered charity number 226227" style="position:absolute;left:94;top:11795;width:11893;height:2373;mso-position-horizontal-relative:page;mso-position-vertical-relative:page">
              <v:imagedata r:id="rId7" o:title=""/>
            </v:shape>
            <v:shape id="_x0000_s1028" type="#_x0000_t75" style="position:absolute;left:7023;top:12123;width:4338;height:1589;mso-position-horizontal-relative:margin" wrapcoords="-66 0 -66 21420 21600 21420 21600 0 -66 0">
              <v:imagedata r:id="rId8" o:title=""/>
            </v:shape>
            <w10:wrap anchorx="margin"/>
          </v:group>
        </w:pict>
      </w:r>
      <w:r w:rsidRPr="001F38DB">
        <w:rPr>
          <w:rFonts w:cs="Times New Roman"/>
          <w:szCs w:val="24"/>
        </w:rPr>
        <w:br w:type="page"/>
      </w:r>
    </w:p>
    <w:p w:rsidR="00855988" w:rsidRPr="001F38DB" w:rsidRDefault="00855988">
      <w:pPr>
        <w:pStyle w:val="Heading1"/>
        <w:rPr>
          <w:rFonts w:cs="Times New Roman"/>
          <w:szCs w:val="24"/>
        </w:rPr>
      </w:pPr>
      <w:r w:rsidRPr="001F38DB">
        <w:rPr>
          <w:rFonts w:cs="Times New Roman"/>
          <w:szCs w:val="24"/>
          <w:lang w:val="lt-LT"/>
        </w:rPr>
        <w:t>Kas yra paslėpta dauguma?</w:t>
      </w:r>
    </w:p>
    <w:p w:rsidR="00855988" w:rsidRPr="001F38DB" w:rsidRDefault="00855988">
      <w:pPr>
        <w:rPr>
          <w:rFonts w:cs="Times New Roman"/>
          <w:szCs w:val="24"/>
        </w:rPr>
      </w:pPr>
      <w:r w:rsidRPr="001F38DB">
        <w:rPr>
          <w:rFonts w:cs="Times New Roman"/>
          <w:szCs w:val="24"/>
          <w:lang w:val="lt-LT"/>
        </w:rPr>
        <w:t>Žmonės, kurie dirba arba nedirba, bet aktyviai ieško darbo, yra ekonomiškai aktyvūs.</w:t>
      </w:r>
      <w:r w:rsidRPr="001F38DB">
        <w:rPr>
          <w:rFonts w:cs="Times New Roman"/>
          <w:szCs w:val="24"/>
        </w:rPr>
        <w:t xml:space="preserve"> </w:t>
      </w:r>
      <w:r w:rsidRPr="001F38DB">
        <w:rPr>
          <w:rFonts w:cs="Times New Roman"/>
          <w:szCs w:val="24"/>
          <w:lang w:val="lt-LT"/>
        </w:rPr>
        <w:t>Tie, kurie nepatenka nė į vieną iš šių dviejų grupių, yra ekonomiškai neaktyvūs.</w:t>
      </w:r>
    </w:p>
    <w:p w:rsidR="00951840" w:rsidRDefault="00855988" w:rsidP="00951840">
      <w:pPr>
        <w:rPr>
          <w:rFonts w:cs="Times New Roman"/>
          <w:szCs w:val="24"/>
          <w:lang w:val="lt-LT"/>
        </w:rPr>
      </w:pPr>
      <w:r w:rsidRPr="001F38DB">
        <w:rPr>
          <w:rFonts w:cs="Times New Roman"/>
          <w:szCs w:val="24"/>
          <w:lang w:val="lt-LT"/>
        </w:rPr>
        <w:t>Aklieji ir silpnaregiai užsiima įvairia profesine veikla visoje ES, bet Europos aklųjų sąjunga (EBU) surinko įrodymų, kad šios grupės ekonominio neaktyvumo lygis Europos Sąjungos valstybėse narėse yra aukštas ir svyruoja maždaug nuo 40 iki 80 procentų.</w:t>
      </w:r>
      <w:r w:rsidRPr="001F38DB">
        <w:rPr>
          <w:rFonts w:cs="Times New Roman"/>
          <w:szCs w:val="24"/>
        </w:rPr>
        <w:t xml:space="preserve">  </w:t>
      </w:r>
      <w:r w:rsidRPr="001F38DB">
        <w:rPr>
          <w:rFonts w:cs="Times New Roman"/>
          <w:szCs w:val="24"/>
          <w:lang w:val="lt-LT"/>
        </w:rPr>
        <w:t>EBU užsakymu buvo parengta daug išsamių pranešimų, remiantis PROGRESS, Bendrijos užimtumo ir socialinio solidarumo programa, ir Karališkuoju nacionaliniu aklųjų institutu.</w:t>
      </w:r>
    </w:p>
    <w:p w:rsidR="00855988" w:rsidRPr="008B19AB" w:rsidRDefault="00855988" w:rsidP="00951840">
      <w:pPr>
        <w:spacing w:after="480"/>
        <w:rPr>
          <w:rFonts w:cs="Times New Roman"/>
          <w:szCs w:val="24"/>
          <w:lang w:val="lt-LT"/>
        </w:rPr>
      </w:pPr>
      <w:r w:rsidRPr="00951840">
        <w:rPr>
          <w:rFonts w:cs="Times New Roman"/>
          <w:szCs w:val="24"/>
          <w:lang w:val="lt-LT"/>
        </w:rPr>
        <w:t>Šie pranešimai, kuriuos galima rasti EBU tinklalapyje, ir pateikti įrodymai apie šios ekonomiškai neaktyvios aklųjų ir silpnaregių grupės egzistavimą visoje ES, sudaro paslėptą daugumą.</w:t>
      </w:r>
    </w:p>
    <w:p w:rsidR="00855988" w:rsidRPr="008B19AB" w:rsidRDefault="00855988" w:rsidP="00951840">
      <w:pPr>
        <w:pStyle w:val="Heading1"/>
        <w:spacing w:before="0" w:after="0" w:line="480" w:lineRule="auto"/>
        <w:rPr>
          <w:rFonts w:cs="Times New Roman"/>
          <w:szCs w:val="24"/>
          <w:lang w:val="lt-LT"/>
        </w:rPr>
      </w:pPr>
      <w:r w:rsidRPr="001F38DB">
        <w:rPr>
          <w:rFonts w:cs="Times New Roman"/>
          <w:szCs w:val="24"/>
          <w:lang w:val="lt-LT"/>
        </w:rPr>
        <w:t>Kas turi žinoti apie paslėptą daugumą?</w:t>
      </w:r>
    </w:p>
    <w:p w:rsidR="00855988" w:rsidRPr="008B19AB" w:rsidRDefault="00855988">
      <w:pPr>
        <w:rPr>
          <w:rFonts w:cs="Times New Roman"/>
          <w:szCs w:val="24"/>
          <w:lang w:val="lt-LT"/>
        </w:rPr>
      </w:pPr>
      <w:r w:rsidRPr="001F38DB">
        <w:rPr>
          <w:rFonts w:cs="Times New Roman"/>
          <w:szCs w:val="24"/>
          <w:lang w:val="lt-LT"/>
        </w:rPr>
        <w:t>Kadangi ši grupė sudaro didžiausią dalį darbino amžiaus aklųjų ir silpnaregių, labai svarbu, kad politikai ir paslaugų teikėjai suprastų, kaip įdarbinti ekonomiškai neaktyvius akluosius bei silpnaregius ir kokias nuostatas priimti, kad būtų patenkinti jų poreikiai.</w:t>
      </w:r>
      <w:r w:rsidRPr="008B19AB">
        <w:rPr>
          <w:rFonts w:cs="Times New Roman"/>
          <w:szCs w:val="24"/>
          <w:lang w:val="lt-LT"/>
        </w:rPr>
        <w:t xml:space="preserve"> </w:t>
      </w:r>
    </w:p>
    <w:p w:rsidR="00855988" w:rsidRPr="008B19AB" w:rsidRDefault="00855988">
      <w:pPr>
        <w:rPr>
          <w:rFonts w:cs="Times New Roman"/>
          <w:szCs w:val="24"/>
          <w:lang w:val="lt-LT"/>
        </w:rPr>
      </w:pPr>
      <w:r w:rsidRPr="001F38DB">
        <w:rPr>
          <w:rFonts w:cs="Times New Roman"/>
          <w:szCs w:val="24"/>
          <w:lang w:val="lt-LT"/>
        </w:rPr>
        <w:t>EBU nariai gali naudotis informacija, kokią dalį sudaro ekonomiškai neaktyvūs darbingo amžiaus aklieji arba silpnaregiai, kad pagerintų akliesiems ir silpnaregiams skirtų paslaugų kokybę.</w:t>
      </w:r>
      <w:r w:rsidRPr="008B19AB">
        <w:rPr>
          <w:rFonts w:cs="Times New Roman"/>
          <w:szCs w:val="24"/>
          <w:lang w:val="lt-LT"/>
        </w:rPr>
        <w:t xml:space="preserve"> </w:t>
      </w:r>
    </w:p>
    <w:p w:rsidR="00855988" w:rsidRPr="008B19AB" w:rsidRDefault="00855988">
      <w:pPr>
        <w:rPr>
          <w:rFonts w:cs="Times New Roman"/>
          <w:szCs w:val="24"/>
          <w:lang w:val="lt-LT"/>
        </w:rPr>
      </w:pPr>
    </w:p>
    <w:p w:rsidR="002F095E" w:rsidRDefault="002F095E">
      <w:pPr>
        <w:rPr>
          <w:rFonts w:cs="Times New Roman"/>
          <w:szCs w:val="24"/>
          <w:lang w:val="lt-LT"/>
        </w:rPr>
      </w:pPr>
    </w:p>
    <w:p w:rsidR="008B19AB" w:rsidRDefault="008B19AB">
      <w:pPr>
        <w:rPr>
          <w:rFonts w:cs="Times New Roman"/>
          <w:szCs w:val="24"/>
          <w:lang w:val="lt-LT"/>
        </w:rPr>
      </w:pPr>
    </w:p>
    <w:p w:rsidR="008B19AB" w:rsidRDefault="008B19AB">
      <w:pPr>
        <w:rPr>
          <w:rFonts w:cs="Times New Roman"/>
          <w:szCs w:val="24"/>
          <w:lang w:val="lt-LT"/>
        </w:rPr>
      </w:pPr>
    </w:p>
    <w:p w:rsidR="008B19AB" w:rsidRPr="008B19AB" w:rsidRDefault="008B19AB">
      <w:pPr>
        <w:rPr>
          <w:rFonts w:cs="Times New Roman"/>
          <w:szCs w:val="24"/>
          <w:lang w:val="lt-LT"/>
        </w:rPr>
      </w:pPr>
    </w:p>
    <w:p w:rsidR="00951840" w:rsidRPr="00951840" w:rsidRDefault="00855988" w:rsidP="00951840">
      <w:pPr>
        <w:pStyle w:val="Heading1"/>
        <w:spacing w:before="0" w:after="0" w:line="276" w:lineRule="auto"/>
        <w:ind w:left="357" w:hanging="357"/>
        <w:rPr>
          <w:rFonts w:cs="Times New Roman"/>
          <w:szCs w:val="24"/>
          <w:lang w:val="lt-LT"/>
        </w:rPr>
      </w:pPr>
      <w:r w:rsidRPr="001F38DB">
        <w:rPr>
          <w:rFonts w:cs="Times New Roman"/>
          <w:szCs w:val="24"/>
          <w:lang w:val="lt-LT"/>
        </w:rPr>
        <w:lastRenderedPageBreak/>
        <w:t>Paslėptos daugumos nustatymas</w:t>
      </w:r>
    </w:p>
    <w:p w:rsidR="00855988" w:rsidRPr="001F38DB" w:rsidRDefault="00855988">
      <w:pPr>
        <w:pStyle w:val="Heading2"/>
        <w:rPr>
          <w:rFonts w:cs="Times New Roman"/>
          <w:szCs w:val="24"/>
        </w:rPr>
      </w:pPr>
      <w:r w:rsidRPr="001F38DB">
        <w:rPr>
          <w:rFonts w:cs="Times New Roman"/>
          <w:szCs w:val="24"/>
          <w:lang w:val="lt-LT"/>
        </w:rPr>
        <w:t>Kaip?</w:t>
      </w:r>
      <w:r w:rsidRPr="001F38DB">
        <w:rPr>
          <w:rFonts w:cs="Times New Roman"/>
          <w:szCs w:val="24"/>
        </w:rPr>
        <w:t xml:space="preserve"> </w:t>
      </w:r>
    </w:p>
    <w:p w:rsidR="00855988" w:rsidRPr="001F38DB" w:rsidRDefault="00855988">
      <w:pPr>
        <w:spacing w:after="0"/>
        <w:rPr>
          <w:rFonts w:cs="Times New Roman"/>
          <w:szCs w:val="24"/>
        </w:rPr>
      </w:pPr>
      <w:r w:rsidRPr="001F38DB">
        <w:rPr>
          <w:rFonts w:cs="Times New Roman"/>
          <w:szCs w:val="24"/>
          <w:lang w:val="lt-LT"/>
        </w:rPr>
        <w:t>Apklausos dalyviams buvo iš anksto išsiųsta pusiau struktūrizuota apklausa su klausimais.</w:t>
      </w:r>
    </w:p>
    <w:p w:rsidR="00855988" w:rsidRPr="001F38DB" w:rsidRDefault="00855988">
      <w:pPr>
        <w:pStyle w:val="Heading2"/>
        <w:rPr>
          <w:rFonts w:cs="Times New Roman"/>
          <w:szCs w:val="24"/>
        </w:rPr>
      </w:pPr>
      <w:r w:rsidRPr="001F38DB">
        <w:rPr>
          <w:rFonts w:cs="Times New Roman"/>
          <w:szCs w:val="24"/>
          <w:lang w:val="lt-LT"/>
        </w:rPr>
        <w:t>Kas dalyvauja?</w:t>
      </w:r>
      <w:r w:rsidRPr="001F38DB">
        <w:rPr>
          <w:rFonts w:cs="Times New Roman"/>
          <w:szCs w:val="24"/>
        </w:rPr>
        <w:t xml:space="preserve"> </w:t>
      </w:r>
    </w:p>
    <w:p w:rsidR="00855988" w:rsidRPr="001F38DB" w:rsidRDefault="00855988">
      <w:pPr>
        <w:pStyle w:val="ListParagraph"/>
        <w:numPr>
          <w:ilvl w:val="0"/>
          <w:numId w:val="7"/>
        </w:numPr>
        <w:rPr>
          <w:rFonts w:cs="Times New Roman"/>
          <w:szCs w:val="24"/>
        </w:rPr>
      </w:pPr>
      <w:r w:rsidRPr="001F38DB">
        <w:rPr>
          <w:rFonts w:cs="Times New Roman"/>
          <w:szCs w:val="24"/>
          <w:lang w:val="lt-LT"/>
        </w:rPr>
        <w:t>Asmenys, atsakingi už valstybinių užimtumo paslaugų teikimą akliesiems ir silpnaregiams.</w:t>
      </w:r>
    </w:p>
    <w:p w:rsidR="00855988" w:rsidRPr="001F38DB" w:rsidRDefault="00855988">
      <w:pPr>
        <w:pStyle w:val="ListParagraph"/>
        <w:numPr>
          <w:ilvl w:val="0"/>
          <w:numId w:val="7"/>
        </w:numPr>
        <w:rPr>
          <w:rFonts w:cs="Times New Roman"/>
          <w:szCs w:val="24"/>
        </w:rPr>
      </w:pPr>
      <w:r w:rsidRPr="001F38DB">
        <w:rPr>
          <w:rFonts w:cs="Times New Roman"/>
          <w:szCs w:val="24"/>
          <w:lang w:val="lt-LT"/>
        </w:rPr>
        <w:t>Pareigūnai, atsakingi už darbo jėgos darbo aktyvinimo priemones.</w:t>
      </w:r>
    </w:p>
    <w:p w:rsidR="00855988" w:rsidRPr="001F38DB" w:rsidRDefault="00855988">
      <w:pPr>
        <w:pStyle w:val="ListParagraph"/>
        <w:numPr>
          <w:ilvl w:val="0"/>
          <w:numId w:val="7"/>
        </w:numPr>
        <w:rPr>
          <w:rFonts w:cs="Times New Roman"/>
          <w:szCs w:val="24"/>
        </w:rPr>
      </w:pPr>
      <w:r w:rsidRPr="001F38DB">
        <w:rPr>
          <w:rFonts w:cs="Times New Roman"/>
          <w:szCs w:val="24"/>
          <w:lang w:val="lt-LT"/>
        </w:rPr>
        <w:t>Gerai informuoti stebėtojai, įskaitant asmenis iš pagrindinių organizacijų, kurie patys atstovauja akluosius.</w:t>
      </w:r>
      <w:r w:rsidRPr="001F38DB">
        <w:rPr>
          <w:rFonts w:cs="Times New Roman"/>
          <w:szCs w:val="24"/>
        </w:rPr>
        <w:t xml:space="preserve"> </w:t>
      </w:r>
    </w:p>
    <w:p w:rsidR="00855988" w:rsidRPr="001F38DB" w:rsidRDefault="00855988">
      <w:pPr>
        <w:rPr>
          <w:rFonts w:cs="Times New Roman"/>
          <w:szCs w:val="24"/>
        </w:rPr>
      </w:pPr>
      <w:r w:rsidRPr="001F38DB">
        <w:rPr>
          <w:rFonts w:cs="Times New Roman"/>
          <w:b/>
          <w:szCs w:val="24"/>
          <w:lang w:val="lt-LT"/>
        </w:rPr>
        <w:t>Patarimas:</w:t>
      </w:r>
      <w:r w:rsidRPr="001F38DB">
        <w:rPr>
          <w:rFonts w:cs="Times New Roman"/>
          <w:szCs w:val="24"/>
        </w:rPr>
        <w:t xml:space="preserve"> </w:t>
      </w:r>
      <w:r w:rsidRPr="001F38DB">
        <w:rPr>
          <w:rFonts w:cs="Times New Roman"/>
          <w:szCs w:val="24"/>
          <w:lang w:val="lt-LT"/>
        </w:rPr>
        <w:t>EBU nariai suteikė vertingos pagalbos ieškant pagrindinių apklausos dalyvių.</w:t>
      </w:r>
      <w:r w:rsidRPr="001F38DB">
        <w:rPr>
          <w:rFonts w:cs="Times New Roman"/>
          <w:szCs w:val="24"/>
        </w:rPr>
        <w:t xml:space="preserve"> </w:t>
      </w:r>
    </w:p>
    <w:p w:rsidR="00855988" w:rsidRPr="001F38DB" w:rsidRDefault="00855988">
      <w:pPr>
        <w:rPr>
          <w:rFonts w:cs="Times New Roman"/>
          <w:szCs w:val="24"/>
        </w:rPr>
      </w:pPr>
      <w:r w:rsidRPr="001F38DB">
        <w:rPr>
          <w:rFonts w:cs="Times New Roman"/>
          <w:b/>
          <w:szCs w:val="24"/>
          <w:lang w:val="lt-LT"/>
        </w:rPr>
        <w:t>Svarbu:</w:t>
      </w:r>
      <w:r w:rsidRPr="001F38DB">
        <w:rPr>
          <w:rFonts w:cs="Times New Roman"/>
          <w:szCs w:val="24"/>
        </w:rPr>
        <w:t xml:space="preserve"> </w:t>
      </w:r>
      <w:r w:rsidR="00951840">
        <w:rPr>
          <w:rFonts w:cs="Times New Roman"/>
          <w:szCs w:val="24"/>
          <w:lang w:val="lt-LT"/>
        </w:rPr>
        <w:t>v</w:t>
      </w:r>
      <w:r w:rsidRPr="001F38DB">
        <w:rPr>
          <w:rFonts w:cs="Times New Roman"/>
          <w:szCs w:val="24"/>
          <w:lang w:val="lt-LT"/>
        </w:rPr>
        <w:t>isiems buvo užtikrintas anonimiškumas – negalima atsekti nė vieno pastabą pateikusio asmens.</w:t>
      </w:r>
    </w:p>
    <w:p w:rsidR="00855988" w:rsidRPr="001F38DB" w:rsidRDefault="00855988">
      <w:pPr>
        <w:pStyle w:val="Heading2"/>
        <w:rPr>
          <w:rFonts w:cs="Times New Roman"/>
          <w:szCs w:val="24"/>
        </w:rPr>
      </w:pPr>
      <w:r w:rsidRPr="001F38DB">
        <w:rPr>
          <w:rFonts w:cs="Times New Roman"/>
          <w:szCs w:val="24"/>
          <w:lang w:val="lt-LT"/>
        </w:rPr>
        <w:t>Pateiktini klausimai</w:t>
      </w:r>
      <w:r w:rsidRPr="001F38DB">
        <w:rPr>
          <w:rFonts w:cs="Times New Roman"/>
          <w:szCs w:val="24"/>
        </w:rPr>
        <w:t xml:space="preserve"> </w:t>
      </w:r>
    </w:p>
    <w:p w:rsidR="00855988" w:rsidRPr="001F38DB" w:rsidRDefault="00855988">
      <w:pPr>
        <w:rPr>
          <w:rFonts w:cs="Times New Roman"/>
          <w:szCs w:val="24"/>
        </w:rPr>
      </w:pPr>
      <w:r w:rsidRPr="001F38DB">
        <w:rPr>
          <w:rFonts w:cs="Times New Roman"/>
          <w:szCs w:val="24"/>
          <w:lang w:val="lt-LT"/>
        </w:rPr>
        <w:t>Siekiant išnagrinėti darbo jėgos aktyvinimo priemonės, užimtumo rėmimo paslaugas ir surinkti paslėptos daugumos įrodymų, jūsų klausimai turi būti jūsų klausimai turėtų būti paremti toliau pateiktomis temomis.</w:t>
      </w:r>
    </w:p>
    <w:p w:rsidR="00855988" w:rsidRPr="001F38DB" w:rsidRDefault="00855988">
      <w:pPr>
        <w:rPr>
          <w:rFonts w:cs="Times New Roman"/>
          <w:szCs w:val="24"/>
        </w:rPr>
      </w:pPr>
    </w:p>
    <w:p w:rsidR="00855988" w:rsidRPr="001F38DB" w:rsidRDefault="00855988">
      <w:pPr>
        <w:pStyle w:val="ListNumber"/>
        <w:tabs>
          <w:tab w:val="clear" w:pos="360"/>
          <w:tab w:val="num" w:pos="567"/>
        </w:tabs>
        <w:spacing w:after="240"/>
        <w:ind w:left="567" w:hanging="567"/>
        <w:rPr>
          <w:rFonts w:cs="Times New Roman"/>
          <w:szCs w:val="24"/>
        </w:rPr>
      </w:pPr>
      <w:r w:rsidRPr="001F38DB">
        <w:rPr>
          <w:rFonts w:cs="Times New Roman"/>
          <w:szCs w:val="24"/>
          <w:lang w:val="lt-LT"/>
        </w:rPr>
        <w:t>Teisinė aklumo ir (arba) silpnaregystės apibrėžtis, pagal kurią nustatoma, kurie asmenys gali dalyvauti specialiuose darbo jėgos aktyvinimo programose.</w:t>
      </w:r>
    </w:p>
    <w:p w:rsidR="00855988" w:rsidRPr="001F38DB" w:rsidRDefault="00855988">
      <w:pPr>
        <w:pStyle w:val="ListNumber"/>
        <w:tabs>
          <w:tab w:val="clear" w:pos="360"/>
          <w:tab w:val="num" w:pos="567"/>
        </w:tabs>
        <w:spacing w:after="240"/>
        <w:ind w:left="567" w:hanging="567"/>
        <w:rPr>
          <w:rFonts w:cs="Times New Roman"/>
          <w:szCs w:val="24"/>
        </w:rPr>
      </w:pPr>
      <w:r w:rsidRPr="001F38DB">
        <w:rPr>
          <w:rFonts w:cs="Times New Roman"/>
          <w:szCs w:val="24"/>
          <w:lang w:val="lt-LT"/>
        </w:rPr>
        <w:t>Pagal amžių, lytį ir turimus kitus sutrikimus suskirstytų dirbančių aklųjų ir silpnaregių skaičius.</w:t>
      </w:r>
    </w:p>
    <w:p w:rsidR="002F095E" w:rsidRDefault="00855988" w:rsidP="002F095E">
      <w:pPr>
        <w:pStyle w:val="ListNumber"/>
        <w:tabs>
          <w:tab w:val="clear" w:pos="360"/>
          <w:tab w:val="num" w:pos="567"/>
        </w:tabs>
        <w:spacing w:after="240"/>
        <w:ind w:left="567" w:hanging="567"/>
        <w:rPr>
          <w:rFonts w:cs="Times New Roman"/>
          <w:szCs w:val="24"/>
        </w:rPr>
      </w:pPr>
      <w:r w:rsidRPr="001F38DB">
        <w:rPr>
          <w:rFonts w:cs="Times New Roman"/>
          <w:szCs w:val="24"/>
          <w:lang w:val="lt-LT"/>
        </w:rPr>
        <w:t>Profesinės veiklos sritys, kuriose aklieji ir silpnaregiai yra bendrai įdarbinti, ir pasiskirstymas vienoje dominančioje profesinėse veikloje.</w:t>
      </w:r>
    </w:p>
    <w:p w:rsidR="002F095E" w:rsidRPr="002F095E" w:rsidRDefault="002F095E" w:rsidP="002F095E">
      <w:pPr>
        <w:pStyle w:val="ListNumber"/>
        <w:numPr>
          <w:ilvl w:val="0"/>
          <w:numId w:val="0"/>
        </w:numPr>
        <w:tabs>
          <w:tab w:val="num" w:pos="567"/>
        </w:tabs>
        <w:spacing w:after="240"/>
        <w:ind w:left="360" w:hanging="360"/>
        <w:rPr>
          <w:rFonts w:cs="Times New Roman"/>
          <w:szCs w:val="24"/>
        </w:rPr>
      </w:pPr>
    </w:p>
    <w:p w:rsidR="00855988" w:rsidRPr="001F38DB" w:rsidRDefault="00855988">
      <w:pPr>
        <w:pStyle w:val="ListNumber"/>
        <w:tabs>
          <w:tab w:val="clear" w:pos="360"/>
          <w:tab w:val="num" w:pos="567"/>
        </w:tabs>
        <w:spacing w:after="240"/>
        <w:ind w:left="567" w:hanging="567"/>
        <w:rPr>
          <w:rFonts w:cs="Times New Roman"/>
          <w:szCs w:val="24"/>
        </w:rPr>
      </w:pPr>
      <w:r w:rsidRPr="001F38DB">
        <w:rPr>
          <w:rFonts w:cs="Times New Roman"/>
          <w:szCs w:val="24"/>
          <w:lang w:val="lt-LT"/>
        </w:rPr>
        <w:lastRenderedPageBreak/>
        <w:t>Pagal amžių, lytį ir turimus kitus sutrikimus suskirstytų aktyviai darbo ieškančių aklųjų ir silpnaregių skaičius.</w:t>
      </w:r>
    </w:p>
    <w:p w:rsidR="00855988" w:rsidRPr="001F38DB" w:rsidRDefault="00855988">
      <w:pPr>
        <w:pStyle w:val="ListNumber"/>
        <w:tabs>
          <w:tab w:val="clear" w:pos="360"/>
          <w:tab w:val="num" w:pos="567"/>
        </w:tabs>
        <w:spacing w:after="240"/>
        <w:ind w:left="567" w:hanging="567"/>
        <w:rPr>
          <w:rFonts w:cs="Times New Roman"/>
          <w:szCs w:val="24"/>
        </w:rPr>
      </w:pPr>
      <w:r w:rsidRPr="001F38DB">
        <w:rPr>
          <w:rFonts w:cs="Times New Roman"/>
          <w:szCs w:val="24"/>
          <w:lang w:val="lt-LT"/>
        </w:rPr>
        <w:t>Pagal amžių ir lytį suskirstytų ekonomiškai neaktyvių aklųjų ir silpnaregių skaičius.</w:t>
      </w:r>
    </w:p>
    <w:p w:rsidR="00855988" w:rsidRPr="001F38DB" w:rsidRDefault="00855988">
      <w:pPr>
        <w:pStyle w:val="ListNumber"/>
        <w:tabs>
          <w:tab w:val="clear" w:pos="360"/>
          <w:tab w:val="num" w:pos="567"/>
        </w:tabs>
        <w:spacing w:after="240"/>
        <w:ind w:left="567" w:hanging="567"/>
        <w:rPr>
          <w:rFonts w:cs="Times New Roman"/>
          <w:szCs w:val="24"/>
        </w:rPr>
      </w:pPr>
      <w:r w:rsidRPr="001F38DB">
        <w:rPr>
          <w:rFonts w:cs="Times New Roman"/>
          <w:szCs w:val="24"/>
          <w:lang w:val="lt-LT"/>
        </w:rPr>
        <w:t>Aklųjų ir silpnaregių, nenutolusių nuo darbo rinkos, skaičius.</w:t>
      </w:r>
    </w:p>
    <w:p w:rsidR="00855988" w:rsidRPr="001F38DB" w:rsidRDefault="00855988">
      <w:pPr>
        <w:pStyle w:val="ListNumber"/>
        <w:tabs>
          <w:tab w:val="clear" w:pos="360"/>
          <w:tab w:val="num" w:pos="567"/>
        </w:tabs>
        <w:spacing w:after="240"/>
        <w:ind w:left="567" w:hanging="567"/>
        <w:rPr>
          <w:rFonts w:cs="Times New Roman"/>
          <w:szCs w:val="24"/>
        </w:rPr>
      </w:pPr>
      <w:r w:rsidRPr="001F38DB">
        <w:rPr>
          <w:rFonts w:cs="Times New Roman"/>
          <w:szCs w:val="24"/>
          <w:lang w:val="lt-LT"/>
        </w:rPr>
        <w:t>Aklųjų ir silpnaregių, nutolusių nuo darbo rinkos, skaičius.</w:t>
      </w:r>
    </w:p>
    <w:p w:rsidR="00855988" w:rsidRPr="001F38DB" w:rsidRDefault="00855988">
      <w:pPr>
        <w:pStyle w:val="ListNumber"/>
        <w:tabs>
          <w:tab w:val="clear" w:pos="360"/>
          <w:tab w:val="num" w:pos="567"/>
        </w:tabs>
        <w:spacing w:after="240"/>
        <w:ind w:left="567" w:hanging="567"/>
        <w:rPr>
          <w:rFonts w:cs="Times New Roman"/>
          <w:szCs w:val="24"/>
        </w:rPr>
      </w:pPr>
      <w:r w:rsidRPr="001F38DB">
        <w:rPr>
          <w:rFonts w:cs="Times New Roman"/>
          <w:szCs w:val="24"/>
          <w:lang w:val="lt-LT"/>
        </w:rPr>
        <w:t>Socialinės apsaugos išmokų tipai, mokami akliesiems ir silpnaregiams, kurie yra ekonomiškai neaktyvūs, atskiriant pakeičiančias pajamas ir neįglumo išmokos kompensacijas.</w:t>
      </w:r>
    </w:p>
    <w:p w:rsidR="00855988" w:rsidRPr="001F38DB" w:rsidRDefault="00855988">
      <w:pPr>
        <w:pStyle w:val="ListNumber"/>
        <w:tabs>
          <w:tab w:val="clear" w:pos="360"/>
          <w:tab w:val="num" w:pos="567"/>
        </w:tabs>
        <w:spacing w:after="240"/>
        <w:ind w:left="567" w:hanging="567"/>
        <w:rPr>
          <w:rFonts w:cs="Times New Roman"/>
          <w:szCs w:val="24"/>
        </w:rPr>
      </w:pPr>
      <w:r w:rsidRPr="001F38DB">
        <w:rPr>
          <w:rFonts w:cs="Times New Roman"/>
          <w:szCs w:val="24"/>
          <w:lang w:val="lt-LT"/>
        </w:rPr>
        <w:t>Ankščiau nurodytų išmokų dydis, išreikštas vidutinio metinio darbo užmokesčio procentine dalimi.</w:t>
      </w:r>
    </w:p>
    <w:p w:rsidR="00855988" w:rsidRPr="001F38DB" w:rsidRDefault="00855988">
      <w:pPr>
        <w:pStyle w:val="ListNumber"/>
        <w:tabs>
          <w:tab w:val="clear" w:pos="360"/>
          <w:tab w:val="num" w:pos="567"/>
        </w:tabs>
        <w:spacing w:after="240"/>
        <w:ind w:left="567" w:hanging="567"/>
        <w:rPr>
          <w:rFonts w:cs="Times New Roman"/>
          <w:szCs w:val="24"/>
        </w:rPr>
      </w:pPr>
      <w:r w:rsidRPr="001F38DB">
        <w:rPr>
          <w:rFonts w:cs="Times New Roman"/>
          <w:szCs w:val="24"/>
          <w:lang w:val="lt-LT"/>
        </w:rPr>
        <w:t>Darbo jėgos aktyvinimo programos, specialiai sukurtos akliesiems ir silpnaregiams, norintiems užsiimti pagrindine profesine veikla ir norintiems dirbti specialiuose centruose, pavyzdžiui, apsaugotose gamyklose, socialiniuose bendrovėse, socialinėse įmonėse ir pan.</w:t>
      </w:r>
    </w:p>
    <w:p w:rsidR="00855988" w:rsidRPr="001F38DB" w:rsidRDefault="00855988">
      <w:pPr>
        <w:pStyle w:val="ListNumber"/>
        <w:tabs>
          <w:tab w:val="clear" w:pos="360"/>
          <w:tab w:val="num" w:pos="567"/>
        </w:tabs>
        <w:spacing w:after="240"/>
        <w:ind w:left="567" w:hanging="567"/>
        <w:rPr>
          <w:rFonts w:cs="Times New Roman"/>
          <w:szCs w:val="24"/>
        </w:rPr>
      </w:pPr>
      <w:r w:rsidRPr="001F38DB">
        <w:rPr>
          <w:rFonts w:cs="Times New Roman"/>
          <w:szCs w:val="24"/>
          <w:lang w:val="lt-LT"/>
        </w:rPr>
        <w:t>Teisės aktai, kuriais siekiama skatinti darbdavius įdarbinti akluosius ir silpnaregius, pvz., kvotos, rezervuotos profesinės veiklos.</w:t>
      </w:r>
    </w:p>
    <w:p w:rsidR="00855988" w:rsidRPr="001F38DB" w:rsidRDefault="00855988">
      <w:pPr>
        <w:pStyle w:val="Heading2"/>
        <w:rPr>
          <w:rFonts w:cs="Times New Roman"/>
          <w:szCs w:val="24"/>
        </w:rPr>
      </w:pPr>
      <w:r w:rsidRPr="001F38DB">
        <w:rPr>
          <w:rFonts w:cs="Times New Roman"/>
          <w:szCs w:val="24"/>
          <w:lang w:val="lt-LT"/>
        </w:rPr>
        <w:t>Pranešimo tikslumo užtikrinimas</w:t>
      </w:r>
    </w:p>
    <w:p w:rsidR="00855988" w:rsidRPr="001F38DB" w:rsidRDefault="00855988">
      <w:pPr>
        <w:rPr>
          <w:rFonts w:cs="Times New Roman"/>
          <w:szCs w:val="24"/>
        </w:rPr>
      </w:pPr>
      <w:r w:rsidRPr="001F38DB">
        <w:rPr>
          <w:rFonts w:cs="Times New Roman"/>
          <w:szCs w:val="24"/>
          <w:lang w:val="lt-LT"/>
        </w:rPr>
        <w:t>Nusiųskite visiems dalyviams pirmąjį pranešimo projektą, kad jie galėtų atlikti pakeitimus, atsiųsti papildomus įrodymus ir pastabas.</w:t>
      </w:r>
      <w:r w:rsidRPr="001F38DB">
        <w:rPr>
          <w:rFonts w:cs="Times New Roman"/>
          <w:szCs w:val="24"/>
        </w:rPr>
        <w:t xml:space="preserve"> </w:t>
      </w:r>
    </w:p>
    <w:p w:rsidR="00855988" w:rsidRPr="001F38DB" w:rsidRDefault="00855988">
      <w:pPr>
        <w:rPr>
          <w:rFonts w:cs="Times New Roman"/>
          <w:szCs w:val="24"/>
        </w:rPr>
      </w:pPr>
      <w:r w:rsidRPr="001F38DB">
        <w:rPr>
          <w:rFonts w:cs="Times New Roman"/>
          <w:szCs w:val="24"/>
          <w:lang w:val="lt-LT"/>
        </w:rPr>
        <w:t>Taip bus pasiektas bendras sutarimas ir parengta subalansuota įdarbinimo tarnybos atskaita ir jų įtaka akliesiems ir silpnaregiams, o jūs galėsite parengti išvadas apie paslėptą daugumą.</w:t>
      </w:r>
    </w:p>
    <w:p w:rsidR="00855988" w:rsidRPr="001F38DB" w:rsidRDefault="00855988">
      <w:pPr>
        <w:rPr>
          <w:rFonts w:cs="Times New Roman"/>
          <w:szCs w:val="24"/>
        </w:rPr>
      </w:pPr>
      <w:r w:rsidRPr="001F38DB">
        <w:rPr>
          <w:rFonts w:cs="Times New Roman"/>
          <w:b/>
          <w:szCs w:val="24"/>
          <w:lang w:val="lt-LT"/>
        </w:rPr>
        <w:t>Svarbu:</w:t>
      </w:r>
      <w:r w:rsidRPr="001F38DB">
        <w:rPr>
          <w:rFonts w:cs="Times New Roman"/>
          <w:szCs w:val="24"/>
        </w:rPr>
        <w:t xml:space="preserve"> </w:t>
      </w:r>
      <w:r w:rsidRPr="001F38DB">
        <w:rPr>
          <w:rFonts w:cs="Times New Roman"/>
          <w:szCs w:val="24"/>
          <w:lang w:val="lt-LT"/>
        </w:rPr>
        <w:t>pranešime turi būti nurodyti bet kokie nepateikti akcentavimo ir kartais aiškinimo skirtumai.</w:t>
      </w:r>
    </w:p>
    <w:p w:rsidR="00855988" w:rsidRPr="001F38DB" w:rsidRDefault="00855988">
      <w:pPr>
        <w:rPr>
          <w:rFonts w:cs="Times New Roman"/>
          <w:szCs w:val="24"/>
        </w:rPr>
      </w:pPr>
    </w:p>
    <w:p w:rsidR="00855988" w:rsidRPr="001F38DB" w:rsidRDefault="00855988">
      <w:pPr>
        <w:pStyle w:val="Heading2"/>
        <w:rPr>
          <w:rFonts w:cs="Times New Roman"/>
          <w:szCs w:val="24"/>
        </w:rPr>
      </w:pPr>
      <w:r w:rsidRPr="001F38DB">
        <w:rPr>
          <w:rFonts w:cs="Times New Roman"/>
          <w:szCs w:val="24"/>
          <w:lang w:val="lt-LT"/>
        </w:rPr>
        <w:lastRenderedPageBreak/>
        <w:t>Pranešimo apie paslėptą daugumą paskelbimas</w:t>
      </w:r>
    </w:p>
    <w:p w:rsidR="00067770" w:rsidRDefault="00855988">
      <w:pPr>
        <w:rPr>
          <w:rFonts w:cs="Times New Roman"/>
          <w:szCs w:val="24"/>
          <w:lang w:val="lt-LT"/>
        </w:rPr>
      </w:pPr>
      <w:r w:rsidRPr="001F38DB">
        <w:rPr>
          <w:rFonts w:cs="Times New Roman"/>
          <w:szCs w:val="24"/>
          <w:lang w:val="lt-LT"/>
        </w:rPr>
        <w:t>EBU norėtų gauti jūsų pranešimą, ypač jeigu jame pabrėžiama geroji patirtis, kurią EBU galėtų skleisti visoje Europos Sąjungoje ir savo narių organizacijose.</w:t>
      </w:r>
    </w:p>
    <w:p w:rsidR="00855988" w:rsidRPr="008B19AB" w:rsidRDefault="00855988">
      <w:pPr>
        <w:rPr>
          <w:rFonts w:cs="Times New Roman"/>
          <w:szCs w:val="24"/>
          <w:lang w:val="lt-LT"/>
        </w:rPr>
      </w:pPr>
      <w:r w:rsidRPr="001F38DB">
        <w:rPr>
          <w:rFonts w:cs="Times New Roman"/>
          <w:szCs w:val="24"/>
          <w:lang w:val="lt-LT"/>
        </w:rPr>
        <w:t>EBU gali paskelbti jūsų pranešimą savo tinklalapyje kartu su kitais pranešimais apie paslėptą daugumą:</w:t>
      </w:r>
    </w:p>
    <w:p w:rsidR="00855988" w:rsidRPr="008B19AB" w:rsidRDefault="00855988">
      <w:pPr>
        <w:rPr>
          <w:rFonts w:cs="Times New Roman"/>
          <w:szCs w:val="24"/>
          <w:lang w:val="lt-LT"/>
        </w:rPr>
      </w:pPr>
      <w:hyperlink r:id="rId9" w:history="1">
        <w:r w:rsidRPr="001F38DB">
          <w:rPr>
            <w:rStyle w:val="Hyperlink"/>
            <w:rFonts w:cs="Times New Roman"/>
            <w:szCs w:val="24"/>
            <w:lang w:val="lt-LT"/>
          </w:rPr>
          <w:t>http://www.euroblind.org/working-areas/rehabilitation-vocational-training-and-employment/</w:t>
        </w:r>
      </w:hyperlink>
    </w:p>
    <w:p w:rsidR="00855988" w:rsidRPr="001F38DB" w:rsidRDefault="00855988">
      <w:pPr>
        <w:pStyle w:val="Heading2"/>
        <w:rPr>
          <w:rFonts w:cs="Times New Roman"/>
          <w:szCs w:val="24"/>
        </w:rPr>
      </w:pPr>
      <w:r w:rsidRPr="001F38DB">
        <w:rPr>
          <w:rFonts w:cs="Times New Roman"/>
          <w:szCs w:val="24"/>
          <w:lang w:val="lt-LT"/>
        </w:rPr>
        <w:t>Pranešimo apie paslėptą daugumą naudojimas</w:t>
      </w:r>
    </w:p>
    <w:p w:rsidR="00855988" w:rsidRPr="001F38DB" w:rsidRDefault="00855988">
      <w:pPr>
        <w:rPr>
          <w:rFonts w:cs="Times New Roman"/>
          <w:szCs w:val="24"/>
        </w:rPr>
      </w:pPr>
      <w:r w:rsidRPr="001F38DB">
        <w:rPr>
          <w:rFonts w:cs="Times New Roman"/>
          <w:szCs w:val="24"/>
          <w:lang w:val="lt-LT"/>
        </w:rPr>
        <w:t>EBU tinklalapyje pateikiama atvejų tyrimų, kurie atskleidžia, kaip valstybės narės panaudojo savo pranešimus apie paslėptą daugumą, siekdamos padaryti įtaką politikai ir pakeisti praktiką.</w:t>
      </w:r>
      <w:r w:rsidRPr="001F38DB">
        <w:rPr>
          <w:rFonts w:cs="Times New Roman"/>
          <w:szCs w:val="24"/>
        </w:rPr>
        <w:t xml:space="preserve"> </w:t>
      </w:r>
      <w:r w:rsidRPr="001F38DB">
        <w:rPr>
          <w:rFonts w:cs="Times New Roman"/>
          <w:szCs w:val="24"/>
          <w:lang w:val="lt-LT"/>
        </w:rPr>
        <w:t>EBU būtų dėkinga, jeigu gautų atsiliepimą,  kaip jūs panaudojote savo pranešimą.</w:t>
      </w:r>
    </w:p>
    <w:p w:rsidR="00855988" w:rsidRPr="001F38DB" w:rsidRDefault="00855988">
      <w:pPr>
        <w:rPr>
          <w:rFonts w:cs="Times New Roman"/>
          <w:i/>
          <w:szCs w:val="24"/>
        </w:rPr>
      </w:pPr>
    </w:p>
    <w:p w:rsidR="00855988" w:rsidRPr="001F38DB" w:rsidRDefault="00855988">
      <w:pPr>
        <w:rPr>
          <w:rFonts w:cs="Times New Roman"/>
          <w:i/>
          <w:szCs w:val="24"/>
        </w:rPr>
      </w:pPr>
    </w:p>
    <w:p w:rsidR="00855988" w:rsidRPr="008B19AB" w:rsidRDefault="00855988">
      <w:pPr>
        <w:rPr>
          <w:rFonts w:cs="Times New Roman"/>
          <w:szCs w:val="24"/>
          <w:lang w:val="pt-BR"/>
        </w:rPr>
      </w:pPr>
      <w:r w:rsidRPr="001F38DB">
        <w:rPr>
          <w:rFonts w:cs="Times New Roman"/>
          <w:i/>
          <w:szCs w:val="24"/>
          <w:lang w:val="lt-LT"/>
        </w:rPr>
        <w:t>Šis vadovas finansuojamas pagal 2007–2013 m. Europos Sąjungos užimtumo ir socialinio solidarumo programą (PROGRESS).</w:t>
      </w:r>
      <w:r w:rsidRPr="008B19AB">
        <w:rPr>
          <w:rFonts w:cs="Times New Roman"/>
          <w:i/>
          <w:szCs w:val="24"/>
          <w:lang w:val="pt-BR"/>
        </w:rPr>
        <w:t xml:space="preserve"> </w:t>
      </w:r>
    </w:p>
    <w:p w:rsidR="00855988" w:rsidRPr="008B19AB" w:rsidRDefault="00855988">
      <w:pPr>
        <w:spacing w:before="100" w:beforeAutospacing="1" w:after="100" w:afterAutospacing="1"/>
        <w:rPr>
          <w:rFonts w:cs="Times New Roman"/>
          <w:szCs w:val="24"/>
          <w:lang w:val="pt-BR"/>
        </w:rPr>
      </w:pPr>
      <w:r w:rsidRPr="001F38DB">
        <w:rPr>
          <w:rFonts w:cs="Times New Roman"/>
          <w:i/>
          <w:szCs w:val="24"/>
          <w:lang w:val="lt-LT"/>
        </w:rPr>
        <w:t>Šią programą įgyvendina Europos Komisija.</w:t>
      </w:r>
      <w:r w:rsidRPr="008B19AB">
        <w:rPr>
          <w:rFonts w:cs="Times New Roman"/>
          <w:i/>
          <w:szCs w:val="24"/>
          <w:lang w:val="pt-BR"/>
        </w:rPr>
        <w:t xml:space="preserve"> </w:t>
      </w:r>
      <w:r w:rsidRPr="001F38DB">
        <w:rPr>
          <w:rFonts w:cs="Times New Roman"/>
          <w:i/>
          <w:szCs w:val="24"/>
          <w:lang w:val="lt-LT"/>
        </w:rPr>
        <w:t>Programa sukurta siekiant finansiškai paremti užimtumo, socialinių reikalų ir lygių galimybių srities Europos Sąjungos tikslų įgyvendinimą ir taip prisidėti prie strategijoje „Europa 2020“ nustatytų šios srities tikslų įgyvendinimo.</w:t>
      </w:r>
      <w:r w:rsidRPr="008B19AB">
        <w:rPr>
          <w:rFonts w:cs="Times New Roman"/>
          <w:i/>
          <w:szCs w:val="24"/>
          <w:lang w:val="pt-BR"/>
        </w:rPr>
        <w:t xml:space="preserve"> </w:t>
      </w:r>
    </w:p>
    <w:p w:rsidR="00855988" w:rsidRPr="008B19AB" w:rsidRDefault="00855988">
      <w:pPr>
        <w:spacing w:before="100" w:beforeAutospacing="1" w:after="100" w:afterAutospacing="1"/>
        <w:rPr>
          <w:rFonts w:cs="Times New Roman"/>
          <w:i/>
          <w:szCs w:val="24"/>
          <w:lang w:val="pt-BR"/>
        </w:rPr>
      </w:pPr>
      <w:r w:rsidRPr="001F38DB">
        <w:rPr>
          <w:rFonts w:cs="Times New Roman"/>
          <w:i/>
          <w:szCs w:val="24"/>
          <w:lang w:val="lt-LT"/>
        </w:rPr>
        <w:t>Septynerius metus trunkanti programa skirta visiems suinteresuotiesiems subjektams, kurie gali padėti rengti tinkamus ir veiksmingus užimtumo ir socialinės srities teisės aktus ir politiką 27 ES valstybėse narėse, ELPA ir EEE šalyse, ES šalyse kandidatėse ir narystės ES siekiančiose šalyse.</w:t>
      </w:r>
    </w:p>
    <w:p w:rsidR="00855988" w:rsidRPr="008B19AB" w:rsidRDefault="00855988">
      <w:pPr>
        <w:rPr>
          <w:rFonts w:cs="Times New Roman"/>
          <w:i/>
          <w:szCs w:val="24"/>
          <w:lang w:val="pt-BR"/>
        </w:rPr>
      </w:pPr>
      <w:r w:rsidRPr="001F38DB">
        <w:rPr>
          <w:rFonts w:cs="Times New Roman"/>
          <w:i/>
          <w:szCs w:val="24"/>
          <w:lang w:val="lt-LT"/>
        </w:rPr>
        <w:t>Daugiau informacijos rasite:</w:t>
      </w:r>
      <w:r w:rsidRPr="008B19AB">
        <w:rPr>
          <w:rFonts w:cs="Times New Roman"/>
          <w:i/>
          <w:szCs w:val="24"/>
          <w:lang w:val="pt-BR"/>
        </w:rPr>
        <w:t xml:space="preserve">  </w:t>
      </w:r>
      <w:hyperlink r:id="rId10" w:history="1">
        <w:r w:rsidRPr="001F38DB">
          <w:rPr>
            <w:rStyle w:val="Hyperlink"/>
            <w:rFonts w:cs="Times New Roman"/>
            <w:i/>
            <w:szCs w:val="24"/>
            <w:lang w:val="lt-LT"/>
          </w:rPr>
          <w:t>http://ec.europa.eu/progress</w:t>
        </w:r>
      </w:hyperlink>
    </w:p>
    <w:p w:rsidR="00855988" w:rsidRPr="008B19AB" w:rsidRDefault="00855988">
      <w:pPr>
        <w:rPr>
          <w:rFonts w:cs="Times New Roman"/>
          <w:i/>
          <w:szCs w:val="24"/>
          <w:lang w:val="pt-BR"/>
        </w:rPr>
      </w:pPr>
    </w:p>
    <w:p w:rsidR="00855988" w:rsidRPr="008B19AB" w:rsidRDefault="00855988">
      <w:pPr>
        <w:spacing w:after="0"/>
        <w:jc w:val="left"/>
        <w:rPr>
          <w:rFonts w:cs="Times New Roman"/>
          <w:szCs w:val="24"/>
          <w:lang w:val="pt-BR"/>
        </w:rPr>
      </w:pPr>
      <w:r w:rsidRPr="001F38DB">
        <w:rPr>
          <w:rFonts w:cs="Times New Roman"/>
          <w:i/>
          <w:szCs w:val="24"/>
          <w:lang w:val="lt-LT"/>
        </w:rPr>
        <w:t>Šiame leidinyje pateikta informacija nebūtinai atspindi Europos Komisijos poziciją arba nuomonę.</w:t>
      </w:r>
    </w:p>
    <w:sectPr w:rsidR="00855988" w:rsidRPr="008B19AB">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A62" w:rsidRPr="001F38DB" w:rsidRDefault="00A52A62">
      <w:pPr>
        <w:rPr>
          <w:rFonts w:cs="Times New Roman"/>
          <w:szCs w:val="24"/>
        </w:rPr>
      </w:pPr>
      <w:r w:rsidRPr="001F38DB">
        <w:rPr>
          <w:rFonts w:cs="Times New Roman"/>
          <w:szCs w:val="24"/>
        </w:rPr>
        <w:separator/>
      </w:r>
    </w:p>
  </w:endnote>
  <w:endnote w:type="continuationSeparator" w:id="0">
    <w:p w:rsidR="00A52A62" w:rsidRPr="001F38DB" w:rsidRDefault="00A52A62">
      <w:pPr>
        <w:rPr>
          <w:rFonts w:cs="Times New Roman"/>
          <w:szCs w:val="24"/>
        </w:rPr>
      </w:pPr>
      <w:r w:rsidRPr="001F38DB">
        <w:rPr>
          <w:rFonts w:cs="Times New Roman"/>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BA"/>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A62" w:rsidRPr="001F38DB" w:rsidRDefault="00A52A62">
      <w:pPr>
        <w:rPr>
          <w:rFonts w:cs="Times New Roman"/>
          <w:szCs w:val="24"/>
        </w:rPr>
      </w:pPr>
      <w:r w:rsidRPr="001F38DB">
        <w:rPr>
          <w:rFonts w:cs="Times New Roman"/>
          <w:szCs w:val="24"/>
        </w:rPr>
        <w:separator/>
      </w:r>
    </w:p>
  </w:footnote>
  <w:footnote w:type="continuationSeparator" w:id="0">
    <w:p w:rsidR="00A52A62" w:rsidRPr="001F38DB" w:rsidRDefault="00A52A62">
      <w:pPr>
        <w:rPr>
          <w:rFonts w:cs="Times New Roman"/>
          <w:szCs w:val="24"/>
        </w:rPr>
      </w:pPr>
      <w:r w:rsidRPr="001F38DB">
        <w:rPr>
          <w:rFonts w:cs="Times New Roman"/>
          <w:szCs w:val="24"/>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6424730"/>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41A690B"/>
    <w:multiLevelType w:val="hybridMultilevel"/>
    <w:tmpl w:val="7D2A4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B743D26"/>
    <w:multiLevelType w:val="hybridMultilevel"/>
    <w:tmpl w:val="40160A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644460B3"/>
    <w:multiLevelType w:val="multilevel"/>
    <w:tmpl w:val="CE8E925C"/>
    <w:lvl w:ilvl="0">
      <w:start w:val="1"/>
      <w:numFmt w:val="decimal"/>
      <w:pStyle w:val="Heading1"/>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72ED3F49"/>
    <w:multiLevelType w:val="hybridMultilevel"/>
    <w:tmpl w:val="3982B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3"/>
  </w:num>
  <w:num w:numId="6">
    <w:abstractNumId w:val="2"/>
  </w:num>
  <w:num w:numId="7">
    <w:abstractNumId w:val="5"/>
  </w:num>
  <w:num w:numId="8">
    <w:abstractNumId w:val="4"/>
  </w:num>
  <w:num w:numId="9">
    <w:abstractNumId w:val="4"/>
  </w:num>
  <w:num w:numId="10">
    <w:abstractNumId w:val="0"/>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embedSystemFonts/>
  <w:proofState w:spelling="clean" w:grammar="clean"/>
  <w:stylePaneFormatFilter w:val="3F01"/>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3974"/>
    <w:rsid w:val="0002184B"/>
    <w:rsid w:val="0002243E"/>
    <w:rsid w:val="00067770"/>
    <w:rsid w:val="000A5E8F"/>
    <w:rsid w:val="000B78C9"/>
    <w:rsid w:val="00110A96"/>
    <w:rsid w:val="0012521C"/>
    <w:rsid w:val="00140462"/>
    <w:rsid w:val="001F38DB"/>
    <w:rsid w:val="00203974"/>
    <w:rsid w:val="002D7D04"/>
    <w:rsid w:val="002F095E"/>
    <w:rsid w:val="003168DC"/>
    <w:rsid w:val="00353796"/>
    <w:rsid w:val="0036128F"/>
    <w:rsid w:val="00383408"/>
    <w:rsid w:val="003B367E"/>
    <w:rsid w:val="00413E04"/>
    <w:rsid w:val="0045727A"/>
    <w:rsid w:val="0048570B"/>
    <w:rsid w:val="004F3372"/>
    <w:rsid w:val="00544DBE"/>
    <w:rsid w:val="005C7960"/>
    <w:rsid w:val="00602A42"/>
    <w:rsid w:val="00617685"/>
    <w:rsid w:val="006443AE"/>
    <w:rsid w:val="00652EA2"/>
    <w:rsid w:val="00662053"/>
    <w:rsid w:val="0066549B"/>
    <w:rsid w:val="006934E8"/>
    <w:rsid w:val="006A27B0"/>
    <w:rsid w:val="006E310A"/>
    <w:rsid w:val="0072083C"/>
    <w:rsid w:val="00752A10"/>
    <w:rsid w:val="00753F30"/>
    <w:rsid w:val="008039FF"/>
    <w:rsid w:val="00855988"/>
    <w:rsid w:val="00873A1B"/>
    <w:rsid w:val="008B19AB"/>
    <w:rsid w:val="008B6775"/>
    <w:rsid w:val="009037C4"/>
    <w:rsid w:val="00904370"/>
    <w:rsid w:val="00944A18"/>
    <w:rsid w:val="00951840"/>
    <w:rsid w:val="00955221"/>
    <w:rsid w:val="00A22275"/>
    <w:rsid w:val="00A52A62"/>
    <w:rsid w:val="00A82411"/>
    <w:rsid w:val="00AD337C"/>
    <w:rsid w:val="00B1376F"/>
    <w:rsid w:val="00B513F8"/>
    <w:rsid w:val="00BA1151"/>
    <w:rsid w:val="00BE5C55"/>
    <w:rsid w:val="00C213FD"/>
    <w:rsid w:val="00C25503"/>
    <w:rsid w:val="00CC5779"/>
    <w:rsid w:val="00CC7634"/>
    <w:rsid w:val="00CE00BA"/>
    <w:rsid w:val="00D434D2"/>
    <w:rsid w:val="00D455FF"/>
    <w:rsid w:val="00D816C6"/>
    <w:rsid w:val="00D93CF5"/>
    <w:rsid w:val="00DA2387"/>
    <w:rsid w:val="00DA5799"/>
    <w:rsid w:val="00E10751"/>
    <w:rsid w:val="00E1084C"/>
    <w:rsid w:val="00E26BA8"/>
    <w:rsid w:val="00EC50A3"/>
    <w:rsid w:val="00F13DE4"/>
    <w:rsid w:val="00F52847"/>
    <w:rsid w:val="00F65340"/>
    <w:rsid w:val="00F832CF"/>
    <w:rsid w:val="00FD2AD4"/>
    <w:rsid w:val="00FE0BF2"/>
    <w:rsid w:val="00FF2F7C"/>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word/2003/wordmlschemas-tilde-lv/tildestengine"/>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List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rFonts w:ascii="Arial" w:hAnsi="Arial" w:cs="Arial"/>
      <w:snapToGrid w:val="0"/>
      <w:sz w:val="28"/>
      <w:szCs w:val="28"/>
      <w:lang w:eastAsia="en-US"/>
    </w:rPr>
  </w:style>
  <w:style w:type="paragraph" w:styleId="Heading1">
    <w:name w:val="heading 1"/>
    <w:basedOn w:val="Heading2"/>
    <w:next w:val="Normal"/>
    <w:uiPriority w:val="9"/>
    <w:qFormat/>
    <w:pPr>
      <w:numPr>
        <w:ilvl w:val="0"/>
      </w:numPr>
      <w:spacing w:before="600" w:after="360"/>
      <w:outlineLvl w:val="0"/>
    </w:pPr>
    <w:rPr>
      <w:sz w:val="36"/>
      <w:szCs w:val="36"/>
    </w:rPr>
  </w:style>
  <w:style w:type="paragraph" w:styleId="Heading2">
    <w:name w:val="heading 2"/>
    <w:basedOn w:val="Heading3"/>
    <w:next w:val="Normal"/>
    <w:uiPriority w:val="9"/>
    <w:qFormat/>
    <w:pPr>
      <w:numPr>
        <w:ilvl w:val="1"/>
        <w:numId w:val="8"/>
      </w:numPr>
      <w:tabs>
        <w:tab w:val="left" w:pos="1134"/>
      </w:tabs>
      <w:spacing w:before="480" w:after="240"/>
      <w:ind w:left="788" w:hanging="431"/>
      <w:outlineLvl w:val="1"/>
    </w:pPr>
  </w:style>
  <w:style w:type="paragraph" w:styleId="Heading3">
    <w:name w:val="heading 3"/>
    <w:basedOn w:val="Normal"/>
    <w:next w:val="Normal"/>
    <w:link w:val="Heading3Char"/>
    <w:uiPriority w:val="9"/>
    <w:qFormat/>
    <w:pPr>
      <w:keepNext/>
      <w:spacing w:after="100"/>
      <w:outlineLvl w:val="2"/>
    </w:pPr>
    <w:rPr>
      <w:b/>
      <w:sz w:val="32"/>
    </w:rPr>
  </w:style>
  <w:style w:type="paragraph" w:styleId="Heading4">
    <w:name w:val="heading 4"/>
    <w:basedOn w:val="Normal"/>
    <w:next w:val="Normal"/>
    <w:link w:val="Heading4Char"/>
    <w:uiPriority w:val="9"/>
    <w:qFormat/>
    <w:pPr>
      <w:keepNext/>
      <w:spacing w:after="80"/>
      <w:outlineLvl w:val="3"/>
    </w:pPr>
    <w:rPr>
      <w:b/>
    </w:rPr>
  </w:style>
  <w:style w:type="paragraph" w:styleId="Heading5">
    <w:name w:val="heading 5"/>
    <w:basedOn w:val="Normal"/>
    <w:next w:val="Normal"/>
    <w:link w:val="Heading5Char"/>
    <w:uiPriority w:val="9"/>
    <w:qFormat/>
    <w:pPr>
      <w:keepNext/>
      <w:spacing w:after="60"/>
      <w:outlineLvl w:val="4"/>
    </w:pPr>
    <w:rPr>
      <w:b/>
    </w:rPr>
  </w:style>
  <w:style w:type="paragraph" w:styleId="Heading6">
    <w:name w:val="heading 6"/>
    <w:basedOn w:val="Normal"/>
    <w:next w:val="Normal"/>
    <w:link w:val="Heading6Char"/>
    <w:uiPriority w:val="9"/>
    <w:qFormat/>
    <w:pPr>
      <w:keepNext/>
      <w:spacing w:after="40"/>
      <w:outlineLvl w:val="5"/>
    </w:pPr>
    <w:rPr>
      <w:b/>
    </w:rPr>
  </w:style>
  <w:style w:type="character" w:default="1" w:styleId="DefaultParagraphFont">
    <w:name w:val="Default Paragraph Font"/>
    <w:uiPriority w:val="1"/>
  </w:style>
  <w:style w:type="table" w:default="1" w:styleId="TableNormal">
    <w:name w:val="Normal Table"/>
    <w:aliases w:val="Header Char1"/>
    <w:link w:val="Header"/>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ableNormal"/>
    <w:uiPriority w:val="99"/>
    <w:pPr>
      <w:tabs>
        <w:tab w:val="center" w:pos="4513"/>
        <w:tab w:val="right" w:pos="9026"/>
      </w:tabs>
    </w:pPr>
  </w:style>
  <w:style w:type="character" w:customStyle="1" w:styleId="Heading2Char">
    <w:name w:val="Heading 2 Char"/>
    <w:uiPriority w:val="9"/>
    <w:locked/>
    <w:rPr>
      <w:rFonts w:ascii="Arial" w:hAnsi="Arial"/>
      <w:b/>
      <w:sz w:val="28"/>
      <w:lang w:val="en-GB"/>
    </w:rPr>
  </w:style>
  <w:style w:type="character" w:customStyle="1" w:styleId="Heading3Char">
    <w:name w:val="Heading 3 Char"/>
    <w:link w:val="Heading3"/>
    <w:uiPriority w:val="9"/>
    <w:semiHidden/>
    <w:rPr>
      <w:rFonts w:ascii="Calibri Light" w:eastAsia="Times New Roman" w:hAnsi="Calibri Light" w:cs="Times New Roman"/>
      <w:b/>
      <w:bCs/>
      <w:snapToGrid/>
      <w:sz w:val="26"/>
      <w:szCs w:val="26"/>
      <w:lang w:val="en-GB"/>
    </w:rPr>
  </w:style>
  <w:style w:type="character" w:customStyle="1" w:styleId="Heading4Char">
    <w:name w:val="Heading 4 Char"/>
    <w:link w:val="Heading4"/>
    <w:uiPriority w:val="9"/>
    <w:semiHidden/>
    <w:rPr>
      <w:rFonts w:ascii="Calibri" w:eastAsia="Times New Roman" w:hAnsi="Calibri" w:cs="Times New Roman"/>
      <w:b/>
      <w:bCs/>
      <w:snapToGrid/>
      <w:sz w:val="28"/>
      <w:szCs w:val="28"/>
      <w:lang w:val="en-GB"/>
    </w:rPr>
  </w:style>
  <w:style w:type="character" w:customStyle="1" w:styleId="Heading5Char">
    <w:name w:val="Heading 5 Char"/>
    <w:link w:val="Heading5"/>
    <w:uiPriority w:val="9"/>
    <w:semiHidden/>
    <w:rPr>
      <w:rFonts w:ascii="Calibri" w:eastAsia="Times New Roman" w:hAnsi="Calibri" w:cs="Times New Roman"/>
      <w:b/>
      <w:bCs/>
      <w:i/>
      <w:iCs/>
      <w:snapToGrid/>
      <w:sz w:val="26"/>
      <w:szCs w:val="26"/>
      <w:lang w:val="en-GB"/>
    </w:rPr>
  </w:style>
  <w:style w:type="paragraph" w:styleId="Footer">
    <w:name w:val="footer"/>
    <w:basedOn w:val="Normal"/>
    <w:uiPriority w:val="99"/>
    <w:pPr>
      <w:tabs>
        <w:tab w:val="center" w:pos="4513"/>
        <w:tab w:val="right" w:pos="9026"/>
      </w:tabs>
    </w:pPr>
  </w:style>
  <w:style w:type="paragraph" w:customStyle="1" w:styleId="Subheading">
    <w:name w:val="Subheading"/>
    <w:basedOn w:val="Normal"/>
    <w:next w:val="Normal"/>
    <w:link w:val="FooterChar1"/>
    <w:pPr>
      <w:keepNext/>
    </w:pPr>
    <w:rPr>
      <w:b/>
      <w:sz w:val="32"/>
    </w:rPr>
  </w:style>
  <w:style w:type="paragraph" w:styleId="Title">
    <w:name w:val="Title"/>
    <w:basedOn w:val="Normal"/>
    <w:next w:val="Normal"/>
    <w:uiPriority w:val="10"/>
    <w:qFormat/>
    <w:pPr>
      <w:keepNext/>
      <w:spacing w:before="240" w:after="60"/>
      <w:jc w:val="center"/>
      <w:outlineLvl w:val="0"/>
    </w:pPr>
    <w:rPr>
      <w:b/>
      <w:bCs/>
      <w:kern w:val="28"/>
      <w:sz w:val="40"/>
      <w:szCs w:val="40"/>
    </w:rPr>
  </w:style>
  <w:style w:type="character" w:customStyle="1" w:styleId="TitleChar">
    <w:name w:val="Title Char"/>
    <w:uiPriority w:val="10"/>
    <w:locked/>
    <w:rPr>
      <w:rFonts w:ascii="Arial" w:hAnsi="Arial"/>
      <w:b/>
      <w:kern w:val="28"/>
      <w:sz w:val="40"/>
      <w:lang w:val="en-GB"/>
    </w:rPr>
  </w:style>
  <w:style w:type="paragraph" w:styleId="Subtitle">
    <w:name w:val="Subtitle"/>
    <w:basedOn w:val="Normal"/>
    <w:next w:val="Normal"/>
    <w:uiPriority w:val="11"/>
    <w:qFormat/>
    <w:pPr>
      <w:keepNext/>
      <w:spacing w:before="60" w:after="60"/>
      <w:jc w:val="center"/>
    </w:pPr>
    <w:rPr>
      <w:b/>
      <w:sz w:val="40"/>
    </w:rPr>
  </w:style>
  <w:style w:type="paragraph" w:styleId="ListParagraph">
    <w:name w:val="List Paragraph"/>
    <w:basedOn w:val="Normal"/>
    <w:uiPriority w:val="34"/>
    <w:qFormat/>
    <w:pPr>
      <w:ind w:left="720"/>
      <w:contextualSpacing/>
    </w:pPr>
  </w:style>
  <w:style w:type="paragraph" w:styleId="Quote">
    <w:name w:val="Quote"/>
    <w:basedOn w:val="Normal"/>
    <w:link w:val="QuoteChar"/>
    <w:uiPriority w:val="29"/>
    <w:qFormat/>
    <w:pPr>
      <w:ind w:left="794" w:right="794"/>
    </w:pPr>
  </w:style>
  <w:style w:type="character" w:customStyle="1" w:styleId="QuoteChar">
    <w:name w:val="Quote Char"/>
    <w:link w:val="Quote"/>
    <w:uiPriority w:val="29"/>
    <w:rPr>
      <w:rFonts w:ascii="Arial" w:hAnsi="Arial" w:cs="Arial"/>
      <w:i/>
      <w:iCs/>
      <w:snapToGrid/>
      <w:color w:val="404040"/>
      <w:sz w:val="28"/>
      <w:szCs w:val="28"/>
      <w:lang w:val="en-GB"/>
    </w:rPr>
  </w:style>
  <w:style w:type="paragraph" w:styleId="Caption">
    <w:name w:val="caption"/>
    <w:basedOn w:val="Normal"/>
    <w:next w:val="Normal"/>
    <w:uiPriority w:val="35"/>
    <w:qFormat/>
    <w:rPr>
      <w:b/>
      <w:bCs/>
      <w:sz w:val="20"/>
    </w:rPr>
  </w:style>
  <w:style w:type="paragraph" w:styleId="ListBullet">
    <w:name w:val="List Bullet"/>
    <w:basedOn w:val="Normal"/>
    <w:uiPriority w:val="99"/>
    <w:pPr>
      <w:numPr>
        <w:numId w:val="3"/>
      </w:numPr>
      <w:tabs>
        <w:tab w:val="left" w:pos="567"/>
      </w:tabs>
    </w:pPr>
  </w:style>
  <w:style w:type="paragraph" w:styleId="ListNumber">
    <w:name w:val="List Number"/>
    <w:basedOn w:val="Normal"/>
    <w:uiPriority w:val="99"/>
    <w:pPr>
      <w:numPr>
        <w:numId w:val="4"/>
      </w:numPr>
      <w:tabs>
        <w:tab w:val="left" w:pos="851"/>
      </w:tabs>
    </w:pPr>
  </w:style>
  <w:style w:type="paragraph" w:styleId="TableofFigures">
    <w:name w:val="table of figures"/>
    <w:basedOn w:val="Normal"/>
    <w:next w:val="Normal"/>
    <w:uiPriority w:val="99"/>
    <w:semiHidden/>
  </w:style>
  <w:style w:type="paragraph" w:customStyle="1" w:styleId="Style2">
    <w:name w:val="Style2"/>
    <w:basedOn w:val="Normal"/>
    <w:rPr>
      <w:b/>
      <w:sz w:val="32"/>
    </w:rPr>
  </w:style>
  <w:style w:type="paragraph" w:customStyle="1" w:styleId="Heading11">
    <w:name w:val="Heading 11"/>
    <w:basedOn w:val="Normal"/>
    <w:autoRedefine/>
    <w:rPr>
      <w:b/>
      <w:sz w:val="32"/>
    </w:rPr>
  </w:style>
  <w:style w:type="character" w:customStyle="1" w:styleId="ListNumberChar">
    <w:name w:val="List Number Char"/>
    <w:locked/>
    <w:rPr>
      <w:rFonts w:ascii="Arial" w:hAnsi="Arial"/>
      <w:sz w:val="28"/>
    </w:rPr>
  </w:style>
  <w:style w:type="character" w:customStyle="1" w:styleId="HeaderChar">
    <w:name w:val="Header Char"/>
    <w:uiPriority w:val="99"/>
    <w:semiHidden/>
    <w:rPr>
      <w:rFonts w:ascii="Arial" w:hAnsi="Arial" w:cs="Arial"/>
      <w:snapToGrid/>
      <w:sz w:val="28"/>
      <w:szCs w:val="28"/>
      <w:lang w:val="en-GB"/>
    </w:rPr>
  </w:style>
  <w:style w:type="character" w:customStyle="1" w:styleId="Heading6Char">
    <w:name w:val="Heading 6 Char"/>
    <w:link w:val="Heading6"/>
    <w:uiPriority w:val="99"/>
    <w:locked/>
    <w:rPr>
      <w:rFonts w:ascii="Arial" w:hAnsi="Arial"/>
      <w:sz w:val="28"/>
    </w:rPr>
  </w:style>
  <w:style w:type="character" w:customStyle="1" w:styleId="FooterChar">
    <w:name w:val="Footer Char"/>
    <w:uiPriority w:val="99"/>
    <w:semiHidden/>
    <w:rPr>
      <w:rFonts w:ascii="Arial" w:hAnsi="Arial" w:cs="Arial"/>
      <w:snapToGrid/>
      <w:sz w:val="28"/>
      <w:szCs w:val="28"/>
      <w:lang w:val="en-GB"/>
    </w:rPr>
  </w:style>
  <w:style w:type="character" w:customStyle="1" w:styleId="FooterChar1">
    <w:name w:val="Footer Char1"/>
    <w:link w:val="Subheading"/>
    <w:locked/>
    <w:rPr>
      <w:rFonts w:ascii="Arial" w:hAnsi="Arial"/>
      <w:sz w:val="28"/>
    </w:rPr>
  </w:style>
  <w:style w:type="paragraph" w:styleId="BalloonText">
    <w:name w:val="Balloon Text"/>
    <w:basedOn w:val="Normal"/>
    <w:uiPriority w:val="99"/>
    <w:rPr>
      <w:rFonts w:ascii="Times New Roman" w:hAnsi="Times New Roman" w:cs="Times New Roman"/>
      <w:sz w:val="16"/>
      <w:szCs w:val="16"/>
    </w:rPr>
  </w:style>
  <w:style w:type="character" w:customStyle="1" w:styleId="BalloonTextChar">
    <w:name w:val="Balloon Text Char"/>
    <w:uiPriority w:val="99"/>
    <w:semiHidden/>
    <w:rPr>
      <w:rFonts w:ascii="Segoe UI" w:hAnsi="Segoe UI" w:cs="Segoe UI"/>
      <w:snapToGrid/>
      <w:sz w:val="18"/>
      <w:szCs w:val="18"/>
      <w:lang w:val="en-GB"/>
    </w:rPr>
  </w:style>
  <w:style w:type="character" w:customStyle="1" w:styleId="BalloonTextChar1">
    <w:name w:val="Balloon Text Char1"/>
    <w:locked/>
    <w:rPr>
      <w:rFonts w:ascii="Times New Roman" w:hAnsi="Times New Roman"/>
      <w:sz w:val="16"/>
    </w:rPr>
  </w:style>
  <w:style w:type="character" w:styleId="Hyperlink">
    <w:name w:val="Hyperlink"/>
    <w:uiPriority w:val="99"/>
    <w:rPr>
      <w:color w:val="0000FF"/>
      <w:u w:val="single"/>
    </w:rPr>
  </w:style>
  <w:style w:type="character" w:customStyle="1" w:styleId="Heading1Char">
    <w:name w:val="Heading 1 Char"/>
    <w:locked/>
    <w:rPr>
      <w:rFonts w:ascii="Arial" w:hAnsi="Arial"/>
      <w:b/>
      <w:sz w:val="36"/>
      <w:lang w:val="en-GB"/>
    </w:rPr>
  </w:style>
  <w:style w:type="character" w:customStyle="1" w:styleId="tw4winMark">
    <w:name w:val="tw4winMark"/>
    <w:uiPriority w:val="99"/>
    <w:rPr>
      <w:rFonts w:ascii="Courier New" w:hAnsi="Courier New"/>
      <w:vanish/>
      <w:color w:val="800080"/>
      <w:sz w:val="24"/>
      <w:vertAlign w:val="subscript"/>
    </w:rPr>
  </w:style>
  <w:style w:type="character" w:customStyle="1" w:styleId="apple-converted-space">
    <w:name w:val="apple-converted-space"/>
  </w:style>
  <w:style w:type="character" w:customStyle="1" w:styleId="SubtitleChar">
    <w:name w:val="Subtitle Char"/>
    <w:locked/>
    <w:rPr>
      <w:rFonts w:ascii="Arial" w:hAnsi="Arial"/>
      <w:b/>
      <w:sz w:val="28"/>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c.europa.eu/progress" TargetMode="External"/><Relationship Id="rId4" Type="http://schemas.openxmlformats.org/officeDocument/2006/relationships/webSettings" Target="webSettings.xml"/><Relationship Id="rId9" Type="http://schemas.openxmlformats.org/officeDocument/2006/relationships/hyperlink" Target="http://www.euroblind.org/working-areas/rehabilitation-vocational-training-and-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711</Words>
  <Characters>5112</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RNIB</Company>
  <LinksUpToDate>false</LinksUpToDate>
  <CharactersWithSpaces>5812</CharactersWithSpaces>
  <SharedDoc>false</SharedDoc>
  <HLinks>
    <vt:vector size="12" baseType="variant">
      <vt:variant>
        <vt:i4>5374024</vt:i4>
      </vt:variant>
      <vt:variant>
        <vt:i4>3</vt:i4>
      </vt:variant>
      <vt:variant>
        <vt:i4>0</vt:i4>
      </vt:variant>
      <vt:variant>
        <vt:i4>5</vt:i4>
      </vt:variant>
      <vt:variant>
        <vt:lpwstr>http://ec.europa.eu/progress</vt:lpwstr>
      </vt:variant>
      <vt:variant>
        <vt:lpwstr/>
      </vt:variant>
      <vt:variant>
        <vt:i4>393225</vt:i4>
      </vt:variant>
      <vt:variant>
        <vt:i4>0</vt:i4>
      </vt:variant>
      <vt:variant>
        <vt:i4>0</vt:i4>
      </vt:variant>
      <vt:variant>
        <vt:i4>5</vt:i4>
      </vt:variant>
      <vt:variant>
        <vt:lpwstr>http://www.euroblind.org/working-areas/rehabilitation-vocational-training-and-employment/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PSimkiss</dc:creator>
  <cp:lastModifiedBy>ETLS</cp:lastModifiedBy>
  <cp:revision>2</cp:revision>
  <dcterms:created xsi:type="dcterms:W3CDTF">2013-11-21T21:10:00Z</dcterms:created>
  <dcterms:modified xsi:type="dcterms:W3CDTF">2013-11-21T21:10:00Z</dcterms:modified>
</cp:coreProperties>
</file>