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54BD" w:rsidRDefault="001854BD" w:rsidP="001854BD">
      <w:pPr>
        <w:pStyle w:val="Header"/>
      </w:pPr>
    </w:p>
    <w:p w:rsidR="001854BD" w:rsidRDefault="001854BD" w:rsidP="001854BD">
      <w:pPr>
        <w:pStyle w:val="Header"/>
      </w:pPr>
    </w:p>
    <w:p w:rsidR="001854BD" w:rsidRDefault="001854BD" w:rsidP="001854BD"/>
    <w:p w:rsidR="001854BD" w:rsidRDefault="001854BD" w:rsidP="001854BD"/>
    <w:p w:rsidR="001854BD" w:rsidRPr="00752A10" w:rsidRDefault="001854BD" w:rsidP="001854BD">
      <w:pPr>
        <w:pStyle w:val="Title"/>
      </w:pPr>
      <w:r>
        <w:t>A MAIORIA OCULTA – um guia prático</w:t>
      </w:r>
    </w:p>
    <w:p w:rsidR="001854BD" w:rsidRDefault="001854BD" w:rsidP="001854BD"/>
    <w:p w:rsidR="001854BD" w:rsidRPr="00752A10" w:rsidRDefault="001854BD" w:rsidP="001854BD">
      <w:pPr>
        <w:pStyle w:val="Subtitle"/>
      </w:pPr>
      <w:r>
        <w:t>Uma revisão da inatividade económica da população cega e com deficiência visual</w:t>
      </w:r>
    </w:p>
    <w:p w:rsidR="001854BD" w:rsidRPr="00752A10" w:rsidRDefault="001854BD" w:rsidP="001854BD">
      <w:pPr>
        <w:jc w:val="center"/>
        <w:rPr>
          <w:sz w:val="32"/>
          <w:szCs w:val="32"/>
        </w:rPr>
      </w:pPr>
    </w:p>
    <w:p w:rsidR="001854BD" w:rsidRPr="00752A10" w:rsidRDefault="001854BD" w:rsidP="001854BD">
      <w:pPr>
        <w:jc w:val="center"/>
        <w:rPr>
          <w:sz w:val="32"/>
          <w:szCs w:val="32"/>
        </w:rPr>
      </w:pPr>
    </w:p>
    <w:p w:rsidR="001854BD" w:rsidRPr="00752A10" w:rsidRDefault="001854BD" w:rsidP="001854BD">
      <w:pPr>
        <w:jc w:val="center"/>
        <w:rPr>
          <w:sz w:val="32"/>
          <w:szCs w:val="32"/>
        </w:rPr>
      </w:pPr>
    </w:p>
    <w:p w:rsidR="001854BD" w:rsidRPr="00752A10" w:rsidRDefault="001854BD" w:rsidP="001854BD">
      <w:pPr>
        <w:jc w:val="center"/>
        <w:rPr>
          <w:b/>
          <w:sz w:val="32"/>
          <w:szCs w:val="32"/>
        </w:rPr>
      </w:pPr>
      <w:r>
        <w:rPr>
          <w:b/>
          <w:sz w:val="32"/>
        </w:rPr>
        <w:t>Por</w:t>
      </w:r>
    </w:p>
    <w:p w:rsidR="001854BD" w:rsidRPr="00752A10" w:rsidRDefault="001854BD" w:rsidP="001854BD">
      <w:pPr>
        <w:jc w:val="center"/>
        <w:rPr>
          <w:b/>
          <w:sz w:val="32"/>
          <w:szCs w:val="32"/>
        </w:rPr>
      </w:pPr>
      <w:r>
        <w:rPr>
          <w:b/>
          <w:sz w:val="32"/>
        </w:rPr>
        <w:t>Philippa Simkiss e Fred Reid</w:t>
      </w:r>
    </w:p>
    <w:p w:rsidR="001854BD" w:rsidRPr="00752A10" w:rsidRDefault="001854BD" w:rsidP="001854BD">
      <w:pPr>
        <w:jc w:val="center"/>
        <w:rPr>
          <w:b/>
          <w:sz w:val="32"/>
          <w:szCs w:val="32"/>
        </w:rPr>
      </w:pPr>
    </w:p>
    <w:p w:rsidR="001854BD" w:rsidRPr="00752A10" w:rsidRDefault="001854BD" w:rsidP="001854BD">
      <w:pPr>
        <w:jc w:val="center"/>
        <w:rPr>
          <w:b/>
          <w:sz w:val="32"/>
          <w:szCs w:val="32"/>
        </w:rPr>
      </w:pPr>
      <w:r>
        <w:rPr>
          <w:b/>
          <w:sz w:val="32"/>
        </w:rPr>
        <w:t>2013</w:t>
      </w:r>
    </w:p>
    <w:p w:rsidR="001854BD" w:rsidRPr="00902373" w:rsidRDefault="001854BD" w:rsidP="001854BD"/>
    <w:p w:rsidR="001854BD" w:rsidRPr="00902373" w:rsidRDefault="001854BD" w:rsidP="001854BD"/>
    <w:p w:rsidR="001854BD" w:rsidRPr="00203974" w:rsidRDefault="00E74260" w:rsidP="001854BD">
      <w:r w:rsidRPr="00E74260">
        <w:pict>
          <v:group id="_x0000_s1026" style="position:absolute;left:0;text-align:left;margin-left:0;margin-top:106.95pt;width:594.65pt;height:118.65pt;z-index:251657728;mso-position-horizontal:center;mso-position-horizontal-relative:margin" coordorigin="94,11795" coordsize="11893,2373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7" type="#_x0000_t75" alt="Logo RNIB supporting blind and partially sighted people&#10;Registered charity number 226227" style="position:absolute;left:94;top:11795;width:11893;height:2373;mso-position-horizontal-relative:page;mso-position-vertical-relative:page">
              <v:imagedata r:id="rId7" o:title="Layout 1_Page 1 copy"/>
            </v:shape>
            <v:shape id="_x0000_s1028" type="#_x0000_t75" style="position:absolute;left:7023;top:12123;width:4338;height:1589;mso-position-horizontal-relative:margin" wrapcoords="-66 0 -66 21420 21600 21420 21600 0 -66 0">
              <v:imagedata r:id="rId8" o:title="EBU_logo_rvb"/>
            </v:shape>
            <w10:wrap anchorx="margin"/>
          </v:group>
        </w:pict>
      </w:r>
      <w:r w:rsidR="001854BD">
        <w:br w:type="page"/>
      </w:r>
    </w:p>
    <w:p w:rsidR="001854BD" w:rsidRPr="00752A10" w:rsidRDefault="001854BD" w:rsidP="001854BD">
      <w:pPr>
        <w:pStyle w:val="Heading1"/>
      </w:pPr>
      <w:r>
        <w:t>Quem compõe a Maioria Oculta?</w:t>
      </w:r>
    </w:p>
    <w:p w:rsidR="001854BD" w:rsidRPr="00752A10" w:rsidRDefault="001854BD" w:rsidP="001854BD">
      <w:r>
        <w:t>Quer as pessoas que estão a trabalhar, quer as pessoas desempregadas e ativamente à procura de trabalho são ‘economicamente ativas’. As pessoas que não se enquadram nestes dois grupos são ‘economicamente inativas’.</w:t>
      </w:r>
    </w:p>
    <w:p w:rsidR="001854BD" w:rsidRDefault="001854BD" w:rsidP="001854BD">
      <w:r>
        <w:t>A população cega e com deficiência visual desempenha uma diversidade de ocupações na UE (União Europeia)</w:t>
      </w:r>
      <w:r w:rsidR="002F14A5">
        <w:t>,</w:t>
      </w:r>
      <w:r>
        <w:t xml:space="preserve"> mas a EBU (European Blind Union) reuniu dados que revelam níveis elevados de inatividade económica no seio deste grupo nos Estados-Membros da União Europeia, que vão dos 40% aos 80</w:t>
      </w:r>
      <w:r w:rsidR="00216C76">
        <w:t xml:space="preserve">%. </w:t>
      </w:r>
      <w:r>
        <w:t xml:space="preserve">A EBU encomendou uma série de relatórios detalhados, com o apoio do PROGRESS, o Programa Comunitário para o Emprego e Solidariedade Social e o </w:t>
      </w:r>
      <w:r>
        <w:rPr>
          <w:i/>
        </w:rPr>
        <w:t>Royal National Institute of Blind People</w:t>
      </w:r>
      <w:r>
        <w:t>.</w:t>
      </w:r>
    </w:p>
    <w:p w:rsidR="001854BD" w:rsidRPr="0029379A" w:rsidRDefault="001854BD" w:rsidP="001854BD">
      <w:r>
        <w:t>Estes relatórios, disponíveis no website da EBU, revelam que</w:t>
      </w:r>
      <w:r w:rsidR="002F14A5">
        <w:t>,</w:t>
      </w:r>
      <w:r>
        <w:t xml:space="preserve"> no território da </w:t>
      </w:r>
      <w:r w:rsidR="002F14A5">
        <w:t>UE,</w:t>
      </w:r>
      <w:r>
        <w:t xml:space="preserve"> este grupo de pessoas cegas e com deficiência visual economicamente inativas constitui uma ‘maioria oculta’.</w:t>
      </w:r>
    </w:p>
    <w:p w:rsidR="001854BD" w:rsidRDefault="001854BD" w:rsidP="001854BD">
      <w:pPr>
        <w:pStyle w:val="Heading1"/>
      </w:pPr>
      <w:r>
        <w:t>Quem deve ter conhecimento sobre esta maioria oculta?</w:t>
      </w:r>
    </w:p>
    <w:p w:rsidR="001854BD" w:rsidRPr="00B513F8" w:rsidRDefault="001854BD" w:rsidP="001854BD">
      <w:r>
        <w:t>Dado que este grupo constitui a maioria das pessoas cegas e com deficiência visual em idade ativa, é importante que os responsáveis políticos e prestadores de serviços saibam como envolver pessoas cegas e com deficiência visual economicamente inativas e como se adaptarem para atender às necessidades</w:t>
      </w:r>
      <w:r w:rsidR="002F14A5">
        <w:t xml:space="preserve"> deste grupo</w:t>
      </w:r>
      <w:r>
        <w:t xml:space="preserve">. </w:t>
      </w:r>
    </w:p>
    <w:p w:rsidR="001854BD" w:rsidRDefault="001854BD" w:rsidP="001854BD">
      <w:r>
        <w:t xml:space="preserve">Os membros da EBU podem usar informação sobre a taxa de inatividade económica entre as pessoas cegas e com deficiência visual em idade ativa no seu trabalho, para aumentar a qualidade dos serviços para pessoas cegas e com deficiência visual. </w:t>
      </w:r>
    </w:p>
    <w:p w:rsidR="001854BD" w:rsidRDefault="001854BD" w:rsidP="001854BD"/>
    <w:p w:rsidR="001854BD" w:rsidRPr="0029379A" w:rsidRDefault="001854BD" w:rsidP="001854BD"/>
    <w:p w:rsidR="001854BD" w:rsidRDefault="001854BD" w:rsidP="001854BD">
      <w:pPr>
        <w:pStyle w:val="Heading1"/>
      </w:pPr>
      <w:r>
        <w:lastRenderedPageBreak/>
        <w:t>Encontrar a Maioria Oculta</w:t>
      </w:r>
    </w:p>
    <w:p w:rsidR="001854BD" w:rsidRPr="00752A10" w:rsidRDefault="001854BD" w:rsidP="001854BD">
      <w:pPr>
        <w:pStyle w:val="Heading2"/>
      </w:pPr>
      <w:r>
        <w:t xml:space="preserve">Como? </w:t>
      </w:r>
    </w:p>
    <w:p w:rsidR="001854BD" w:rsidRDefault="001854BD" w:rsidP="001854BD">
      <w:r>
        <w:t>Entrevistas semi-estruturadas com questões enviadas com antecedência para os entrevistados</w:t>
      </w:r>
    </w:p>
    <w:p w:rsidR="001854BD" w:rsidRPr="00752A10" w:rsidRDefault="001854BD" w:rsidP="001854BD">
      <w:pPr>
        <w:pStyle w:val="Heading2"/>
      </w:pPr>
      <w:r>
        <w:t xml:space="preserve">Com quem? </w:t>
      </w:r>
    </w:p>
    <w:p w:rsidR="001854BD" w:rsidRDefault="001854BD" w:rsidP="001854BD">
      <w:pPr>
        <w:pStyle w:val="ListParagraph"/>
        <w:numPr>
          <w:ilvl w:val="0"/>
          <w:numId w:val="5"/>
        </w:numPr>
      </w:pPr>
      <w:r>
        <w:t>Responsáveis pelos serviços nacionais de emprego para pessoas cegas e com deficiência visual</w:t>
      </w:r>
    </w:p>
    <w:p w:rsidR="001854BD" w:rsidRPr="00BA1151" w:rsidRDefault="001854BD" w:rsidP="001854BD">
      <w:pPr>
        <w:pStyle w:val="ListParagraph"/>
        <w:numPr>
          <w:ilvl w:val="0"/>
          <w:numId w:val="5"/>
        </w:numPr>
      </w:pPr>
      <w:r>
        <w:t>Oficiais responsáveis por medidas de ativação laboral</w:t>
      </w:r>
    </w:p>
    <w:p w:rsidR="001854BD" w:rsidRPr="00BA1151" w:rsidRDefault="001854BD" w:rsidP="001854BD">
      <w:pPr>
        <w:pStyle w:val="ListParagraph"/>
        <w:numPr>
          <w:ilvl w:val="0"/>
          <w:numId w:val="5"/>
        </w:numPr>
      </w:pPr>
      <w:r>
        <w:t xml:space="preserve">Observadores bem informados, incluindo representantes de organizações que representem pessoas cegas </w:t>
      </w:r>
    </w:p>
    <w:p w:rsidR="001854BD" w:rsidRDefault="001854BD" w:rsidP="001854BD">
      <w:r>
        <w:rPr>
          <w:b/>
        </w:rPr>
        <w:t>Dica:</w:t>
      </w:r>
      <w:r>
        <w:t xml:space="preserve"> O</w:t>
      </w:r>
      <w:r w:rsidR="002F14A5">
        <w:t xml:space="preserve"> apoio dos</w:t>
      </w:r>
      <w:r>
        <w:t xml:space="preserve"> membros da EBU </w:t>
      </w:r>
      <w:r w:rsidR="002F14A5">
        <w:t>foi</w:t>
      </w:r>
      <w:r>
        <w:t xml:space="preserve"> crucial na recolha de contactos importantes a entrevistar. </w:t>
      </w:r>
    </w:p>
    <w:p w:rsidR="001854BD" w:rsidRDefault="001854BD" w:rsidP="001854BD">
      <w:r>
        <w:rPr>
          <w:b/>
        </w:rPr>
        <w:t>Importante:</w:t>
      </w:r>
      <w:r>
        <w:t xml:space="preserve"> Foi dada garantia de sigilo a todos os entrevistados - nenhum dos comentários feitos foi atribuído a uma pessoa.</w:t>
      </w:r>
    </w:p>
    <w:p w:rsidR="001854BD" w:rsidRPr="00752A10" w:rsidRDefault="001854BD" w:rsidP="001854BD">
      <w:pPr>
        <w:pStyle w:val="Heading2"/>
      </w:pPr>
      <w:r>
        <w:t xml:space="preserve">Questões a colocar </w:t>
      </w:r>
    </w:p>
    <w:p w:rsidR="001854BD" w:rsidRDefault="001854BD" w:rsidP="001854BD">
      <w:r>
        <w:t>Para pesquisar medidas de ativação laboral, serviços de emprego e recolher dados sobre a maioria oculta, as suas questões devem ser estruturadas em torno dos tópicos seguintes:</w:t>
      </w:r>
    </w:p>
    <w:p w:rsidR="001854BD" w:rsidRDefault="001854BD" w:rsidP="001854BD"/>
    <w:p w:rsidR="001854BD" w:rsidRDefault="001854BD" w:rsidP="001854BD">
      <w:pPr>
        <w:pStyle w:val="ListNumber"/>
        <w:tabs>
          <w:tab w:val="clear" w:pos="360"/>
          <w:tab w:val="num" w:pos="567"/>
        </w:tabs>
        <w:spacing w:after="240"/>
        <w:ind w:left="567" w:hanging="567"/>
      </w:pPr>
      <w:r>
        <w:t>Uma definição legal de cegueira e/ou deficiência visual que qualifica uma pessoa a aceder a programas especiais de ativação laboral</w:t>
      </w:r>
    </w:p>
    <w:p w:rsidR="001854BD" w:rsidRPr="00AC28D9" w:rsidRDefault="001854BD" w:rsidP="001854BD">
      <w:pPr>
        <w:pStyle w:val="ListNumber"/>
        <w:tabs>
          <w:tab w:val="clear" w:pos="360"/>
          <w:tab w:val="num" w:pos="567"/>
        </w:tabs>
        <w:spacing w:after="240"/>
        <w:ind w:left="567" w:hanging="567"/>
      </w:pPr>
      <w:r>
        <w:t>Número de pessoas cegas e com deficiência visual empregadas, repartido por grupo etário, género e deficiências adicionais</w:t>
      </w:r>
    </w:p>
    <w:p w:rsidR="001854BD" w:rsidRPr="00AC28D9" w:rsidRDefault="001854BD" w:rsidP="001854BD">
      <w:pPr>
        <w:pStyle w:val="ListNumber"/>
        <w:tabs>
          <w:tab w:val="clear" w:pos="360"/>
          <w:tab w:val="num" w:pos="567"/>
        </w:tabs>
        <w:spacing w:after="240"/>
        <w:ind w:left="567" w:hanging="567"/>
      </w:pPr>
      <w:r>
        <w:t>Gama de ocupações laborais das pessoas cegas e com deficiência visual, e indicação de agrupamento numa possível ocupação dominante</w:t>
      </w:r>
    </w:p>
    <w:p w:rsidR="001854BD" w:rsidRPr="00AC28D9" w:rsidRDefault="001854BD" w:rsidP="001854BD">
      <w:pPr>
        <w:pStyle w:val="ListNumber"/>
        <w:numPr>
          <w:ilvl w:val="0"/>
          <w:numId w:val="0"/>
        </w:numPr>
        <w:spacing w:after="240"/>
        <w:ind w:left="567"/>
      </w:pPr>
    </w:p>
    <w:p w:rsidR="001854BD" w:rsidRPr="00AC28D9" w:rsidRDefault="001854BD" w:rsidP="001854BD">
      <w:pPr>
        <w:pStyle w:val="ListNumber"/>
        <w:tabs>
          <w:tab w:val="clear" w:pos="360"/>
          <w:tab w:val="num" w:pos="567"/>
        </w:tabs>
        <w:spacing w:after="240"/>
        <w:ind w:left="567" w:hanging="567"/>
      </w:pPr>
      <w:r>
        <w:lastRenderedPageBreak/>
        <w:t>Número de pessoas cegas e/ou com deficiência visual que estão ativamente à procura de emprego, repartido por grupo etário, género e deficiências adicionais</w:t>
      </w:r>
    </w:p>
    <w:p w:rsidR="001854BD" w:rsidRPr="00AC28D9" w:rsidRDefault="001854BD" w:rsidP="001854BD">
      <w:pPr>
        <w:pStyle w:val="ListNumber"/>
        <w:tabs>
          <w:tab w:val="clear" w:pos="360"/>
          <w:tab w:val="num" w:pos="567"/>
        </w:tabs>
        <w:spacing w:after="240"/>
        <w:ind w:left="567" w:hanging="567"/>
      </w:pPr>
      <w:r>
        <w:t xml:space="preserve">Número de pessoas cegas e/ou com deficiência visual  economicamente inativas, repartido por grupo etário e género </w:t>
      </w:r>
    </w:p>
    <w:p w:rsidR="001854BD" w:rsidRPr="00AC28D9" w:rsidRDefault="001854BD" w:rsidP="001854BD">
      <w:pPr>
        <w:pStyle w:val="ListNumber"/>
        <w:tabs>
          <w:tab w:val="clear" w:pos="360"/>
          <w:tab w:val="num" w:pos="567"/>
        </w:tabs>
        <w:spacing w:after="240"/>
        <w:ind w:left="567" w:hanging="567"/>
      </w:pPr>
      <w:r>
        <w:t>Número de pessoas cegas e com deficiência visual perto do mercado de trabalho</w:t>
      </w:r>
    </w:p>
    <w:p w:rsidR="001854BD" w:rsidRPr="00AC28D9" w:rsidRDefault="001854BD" w:rsidP="001854BD">
      <w:pPr>
        <w:pStyle w:val="ListNumber"/>
        <w:tabs>
          <w:tab w:val="clear" w:pos="360"/>
          <w:tab w:val="num" w:pos="567"/>
        </w:tabs>
        <w:spacing w:after="240"/>
        <w:ind w:left="567" w:hanging="567"/>
      </w:pPr>
      <w:r>
        <w:t>Número de pessoas cegas e com deficiência visual afastadas do mercado de trabalho</w:t>
      </w:r>
    </w:p>
    <w:p w:rsidR="001854BD" w:rsidRPr="00AC28D9" w:rsidRDefault="001854BD" w:rsidP="001854BD">
      <w:pPr>
        <w:pStyle w:val="ListNumber"/>
        <w:tabs>
          <w:tab w:val="clear" w:pos="360"/>
          <w:tab w:val="num" w:pos="567"/>
        </w:tabs>
        <w:spacing w:after="240"/>
        <w:ind w:left="567" w:hanging="567"/>
      </w:pPr>
      <w:r>
        <w:t>Tipos de benefícios da segurança social pagos a pessoas cegas e com deficiência visual economicamente inativas, distinguindo entre substituição dos rendimentos e compensação para os custos da deficiência</w:t>
      </w:r>
    </w:p>
    <w:p w:rsidR="001854BD" w:rsidRPr="00AC28D9" w:rsidRDefault="001854BD" w:rsidP="001854BD">
      <w:pPr>
        <w:pStyle w:val="ListNumber"/>
        <w:tabs>
          <w:tab w:val="clear" w:pos="360"/>
          <w:tab w:val="num" w:pos="567"/>
        </w:tabs>
        <w:spacing w:after="240"/>
        <w:ind w:left="567" w:hanging="567"/>
      </w:pPr>
      <w:r>
        <w:t>Nível dos tópicos expressos como percentagem dos ganhos médios anuais</w:t>
      </w:r>
    </w:p>
    <w:p w:rsidR="001854BD" w:rsidRPr="00AC28D9" w:rsidRDefault="001854BD" w:rsidP="001854BD">
      <w:pPr>
        <w:pStyle w:val="ListNumber"/>
        <w:tabs>
          <w:tab w:val="clear" w:pos="360"/>
          <w:tab w:val="num" w:pos="567"/>
        </w:tabs>
        <w:spacing w:after="240"/>
        <w:ind w:left="567" w:hanging="567"/>
      </w:pPr>
      <w:r>
        <w:t>Programas de ativação laboral fornecidos especificamente para pessoas cegas e/ou com deficiência visual, com o objetivo de gerar emprego em ocupações regulares e em centros especiais, como p. ex. fábricas protegidas, empresas de economia social, etc.</w:t>
      </w:r>
    </w:p>
    <w:p w:rsidR="001854BD" w:rsidRPr="00AC28D9" w:rsidRDefault="001854BD" w:rsidP="001854BD">
      <w:pPr>
        <w:pStyle w:val="ListNumber"/>
        <w:tabs>
          <w:tab w:val="clear" w:pos="360"/>
          <w:tab w:val="num" w:pos="567"/>
        </w:tabs>
        <w:spacing w:after="240"/>
        <w:ind w:left="567" w:hanging="567"/>
      </w:pPr>
      <w:r>
        <w:t xml:space="preserve">Legislação com o objetivo de influenciar os empregadores a contratar pessoas cegas e com deficiência visual, p. ex. </w:t>
      </w:r>
      <w:r w:rsidR="00B86E58">
        <w:t>q</w:t>
      </w:r>
      <w:r>
        <w:t>uotas, ocupações reservadas.</w:t>
      </w:r>
    </w:p>
    <w:p w:rsidR="001854BD" w:rsidRPr="00752A10" w:rsidRDefault="001854BD" w:rsidP="001854BD">
      <w:pPr>
        <w:pStyle w:val="Heading2"/>
      </w:pPr>
      <w:r>
        <w:t>Garantir que o relatório é rigoroso</w:t>
      </w:r>
    </w:p>
    <w:p w:rsidR="001854BD" w:rsidRDefault="001854BD" w:rsidP="001854BD">
      <w:r>
        <w:t xml:space="preserve">Enviar aos participantes uma versão provisória do relatório para lhes dar a oportunidade de fazer correções, enviar dados e comentários adicionais. </w:t>
      </w:r>
    </w:p>
    <w:p w:rsidR="001854BD" w:rsidRDefault="001854BD" w:rsidP="001854BD">
      <w:r>
        <w:t>Desta forma, conseguirá maior entendimento e um relato equilibrado dos serviços de emprego e do seu impacto nas pessoas cegas e com deficiência visual, e será capaz de chegar a conclusões sobre a maioria oculta.</w:t>
      </w:r>
    </w:p>
    <w:p w:rsidR="001854BD" w:rsidRPr="009023FE" w:rsidRDefault="001854BD" w:rsidP="001854BD">
      <w:r>
        <w:rPr>
          <w:b/>
        </w:rPr>
        <w:t>Importante:</w:t>
      </w:r>
      <w:r>
        <w:t xml:space="preserve"> Qualquer diferença restante de ênfase e ocasionalmente de interpretação deve ser incluída no relatório.</w:t>
      </w:r>
    </w:p>
    <w:p w:rsidR="001854BD" w:rsidRDefault="001854BD" w:rsidP="001854BD"/>
    <w:p w:rsidR="001854BD" w:rsidRDefault="001854BD" w:rsidP="001854BD"/>
    <w:p w:rsidR="001854BD" w:rsidRPr="00752A10" w:rsidRDefault="001854BD" w:rsidP="001854BD">
      <w:pPr>
        <w:pStyle w:val="Heading2"/>
      </w:pPr>
      <w:r>
        <w:t>Publicar o seu relatório sobre a Maioria Oculta</w:t>
      </w:r>
    </w:p>
    <w:p w:rsidR="001854BD" w:rsidRDefault="001854BD" w:rsidP="001854BD">
      <w:r>
        <w:t>A EBU terá todo o prazer em receber o seu relatório, sobretudo se ele destacar boas práticas que possam ser disseminadas na União Europeia pela EBU e as suas organizações-membros.</w:t>
      </w:r>
    </w:p>
    <w:p w:rsidR="001854BD" w:rsidRDefault="001854BD" w:rsidP="001854BD">
      <w:r>
        <w:t>A EBU pode publicar o seu relatório no seu website juntamente com outros relatórios sobre a Maioria Oculta:</w:t>
      </w:r>
    </w:p>
    <w:p w:rsidR="001854BD" w:rsidRDefault="00E74260" w:rsidP="001854BD">
      <w:hyperlink r:id="rId9" w:history="1">
        <w:r w:rsidR="001854BD">
          <w:rPr>
            <w:rStyle w:val="Hyperlink"/>
          </w:rPr>
          <w:t>http://www.euroblind.org/working-areas/rehabilitation-vocational-training-and-employment/</w:t>
        </w:r>
      </w:hyperlink>
    </w:p>
    <w:p w:rsidR="001854BD" w:rsidRPr="00752A10" w:rsidRDefault="001854BD" w:rsidP="001854BD">
      <w:pPr>
        <w:pStyle w:val="Heading2"/>
      </w:pPr>
      <w:r>
        <w:t>Como utilizar o seu relatório da Maioria Oculta</w:t>
      </w:r>
    </w:p>
    <w:p w:rsidR="001854BD" w:rsidRPr="00602A42" w:rsidRDefault="001854BD" w:rsidP="001854BD">
      <w:r>
        <w:t>Existem estudos de caso no website da EBU que mostram como os estados-membros utilizaram os seus relatórios sobre a Maioria Oculta para influenciar e mudar a prática. A EBU gostaria de ter feedback sobre como utiliza o seu.</w:t>
      </w:r>
    </w:p>
    <w:p w:rsidR="001854BD" w:rsidRDefault="001854BD" w:rsidP="001854BD">
      <w:pPr>
        <w:rPr>
          <w:i/>
          <w:iCs/>
        </w:rPr>
      </w:pPr>
    </w:p>
    <w:p w:rsidR="001854BD" w:rsidRDefault="001854BD" w:rsidP="001854BD">
      <w:pPr>
        <w:rPr>
          <w:i/>
          <w:iCs/>
        </w:rPr>
      </w:pPr>
    </w:p>
    <w:p w:rsidR="001854BD" w:rsidRDefault="001854BD" w:rsidP="001854BD">
      <w:pPr>
        <w:rPr>
          <w:i/>
          <w:iCs/>
        </w:rPr>
      </w:pPr>
      <w:r>
        <w:rPr>
          <w:i/>
        </w:rPr>
        <w:t xml:space="preserve">Este manual é apoiado pelo Programa para o Emprego e a Solidariedade Social da União Europeia - PROGRESS (2007-2013). </w:t>
      </w:r>
    </w:p>
    <w:p w:rsidR="001854BD" w:rsidRDefault="001854BD" w:rsidP="001854BD">
      <w:pPr>
        <w:spacing w:before="100" w:beforeAutospacing="1" w:after="100" w:afterAutospacing="1"/>
        <w:rPr>
          <w:i/>
          <w:iCs/>
        </w:rPr>
      </w:pPr>
      <w:r>
        <w:rPr>
          <w:i/>
        </w:rPr>
        <w:t xml:space="preserve">Este programa é implementado pela Comissão Europeia. Foi criado para apoiar financeiramente a implementação dos objetivos da União Europeia nas áreas do emprego, assuntos sociais e igualdade de oportunidades, contribuindo assim para alcançar os objetivos da Estratégia Europa 2020 nestes campos. </w:t>
      </w:r>
    </w:p>
    <w:p w:rsidR="001854BD" w:rsidRDefault="001854BD" w:rsidP="001854BD">
      <w:pPr>
        <w:spacing w:before="100" w:beforeAutospacing="1" w:after="100" w:afterAutospacing="1"/>
        <w:rPr>
          <w:i/>
          <w:iCs/>
        </w:rPr>
      </w:pPr>
      <w:r>
        <w:rPr>
          <w:i/>
        </w:rPr>
        <w:t>O programa, com a duração de sete anos, destina-se a todos os stakeholders que possam ajudar a moldar o desenvolvimento de legislação e políticas sociais e de emprego adequadas e efetivas, nos 27 Estados-Membros, EFTA-AEE e países candidatos e pré-candidatos à União Europeia.</w:t>
      </w:r>
    </w:p>
    <w:p w:rsidR="001854BD" w:rsidRDefault="001854BD" w:rsidP="001854BD">
      <w:pPr>
        <w:rPr>
          <w:i/>
          <w:iCs/>
        </w:rPr>
      </w:pPr>
      <w:r>
        <w:rPr>
          <w:i/>
        </w:rPr>
        <w:t xml:space="preserve">Para mais informação consulte:  </w:t>
      </w:r>
      <w:hyperlink r:id="rId10" w:history="1">
        <w:r>
          <w:rPr>
            <w:rStyle w:val="Hyperlink"/>
            <w:i/>
          </w:rPr>
          <w:t>http://ec.europa.eu/progress</w:t>
        </w:r>
      </w:hyperlink>
    </w:p>
    <w:p w:rsidR="001854BD" w:rsidRDefault="001854BD" w:rsidP="001854BD">
      <w:pPr>
        <w:rPr>
          <w:i/>
          <w:iCs/>
        </w:rPr>
      </w:pPr>
    </w:p>
    <w:p w:rsidR="001854BD" w:rsidRDefault="001854BD" w:rsidP="001854BD">
      <w:pPr>
        <w:spacing w:after="0"/>
        <w:jc w:val="left"/>
      </w:pPr>
      <w:r>
        <w:rPr>
          <w:i/>
        </w:rPr>
        <w:t>A informação contida nesta publicação não reflete necessariamente a posição ou opinião da Comissão Europeia.</w:t>
      </w:r>
    </w:p>
    <w:sectPr w:rsidR="001854BD" w:rsidSect="001854BD">
      <w:pgSz w:w="11906" w:h="16838" w:code="9"/>
      <w:pgMar w:top="1440" w:right="1797" w:bottom="1440" w:left="179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854BD" w:rsidRDefault="001854BD" w:rsidP="001854BD">
      <w:r>
        <w:separator/>
      </w:r>
    </w:p>
  </w:endnote>
  <w:endnote w:type="continuationSeparator" w:id="0">
    <w:p w:rsidR="001854BD" w:rsidRDefault="001854BD" w:rsidP="001854B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854BD" w:rsidRDefault="001854BD" w:rsidP="001854BD">
      <w:r>
        <w:separator/>
      </w:r>
    </w:p>
  </w:footnote>
  <w:footnote w:type="continuationSeparator" w:id="0">
    <w:p w:rsidR="001854BD" w:rsidRDefault="001854BD" w:rsidP="001854B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8"/>
    <w:multiLevelType w:val="singleLevel"/>
    <w:tmpl w:val="263E885C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FFFFFF89"/>
    <w:multiLevelType w:val="singleLevel"/>
    <w:tmpl w:val="569E76C6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141A690B"/>
    <w:multiLevelType w:val="hybridMultilevel"/>
    <w:tmpl w:val="7D2A4A18"/>
    <w:lvl w:ilvl="0" w:tplc="D162567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5D76D52A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51EAE6BA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EF6243A2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34E1DE8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A022C32E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6BB69F6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A1FCAC0A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7CC64BD6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5B743D26"/>
    <w:multiLevelType w:val="hybridMultilevel"/>
    <w:tmpl w:val="40160A3E"/>
    <w:lvl w:ilvl="0" w:tplc="AF6666F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46CEDB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40200C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2C4E78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DA22F3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FBE965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61CA11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876290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334E01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644460B3"/>
    <w:multiLevelType w:val="multilevel"/>
    <w:tmpl w:val="CE8E925C"/>
    <w:lvl w:ilvl="0">
      <w:start w:val="1"/>
      <w:numFmt w:val="decimal"/>
      <w:pStyle w:val="Heading1"/>
      <w:lvlText w:val="%1."/>
      <w:lvlJc w:val="left"/>
      <w:pPr>
        <w:ind w:left="360" w:hanging="360"/>
      </w:pPr>
    </w:lvl>
    <w:lvl w:ilvl="1">
      <w:start w:val="1"/>
      <w:numFmt w:val="decimal"/>
      <w:pStyle w:val="Heading2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72ED3F49"/>
    <w:multiLevelType w:val="hybridMultilevel"/>
    <w:tmpl w:val="3982BA0E"/>
    <w:lvl w:ilvl="0" w:tplc="68C6FE0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BED815B2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8D66EE9C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9B824A54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CC705942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CBC624E8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B662B78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5EED72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C37E42C0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  <w:num w:numId="5">
    <w:abstractNumId w:val="5"/>
  </w:num>
  <w:num w:numId="6">
    <w:abstractNumId w:val="4"/>
  </w:num>
  <w:num w:numId="7">
    <w:abstractNumId w:val="4"/>
  </w:num>
  <w:num w:numId="8">
    <w:abstractNumId w:val="0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72"/>
  <w:embedSystemFonts/>
  <w:proofState w:spelling="clean" w:grammar="clean"/>
  <w:stylePaneFormatFilter w:val="3F01"/>
  <w:doNotTrackMoves/>
  <w:defaultTabStop w:val="720"/>
  <w:hyphenationZone w:val="425"/>
  <w:characterSpacingControl w:val="doNotCompress"/>
  <w:hdrShapeDefaults>
    <o:shapedefaults v:ext="edit" spidmax="5121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03974"/>
    <w:rsid w:val="001854BD"/>
    <w:rsid w:val="00203974"/>
    <w:rsid w:val="00216C76"/>
    <w:rsid w:val="002F14A5"/>
    <w:rsid w:val="007B3D6C"/>
    <w:rsid w:val="00B86E58"/>
    <w:rsid w:val="00BF3FAE"/>
    <w:rsid w:val="00E742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52A10"/>
    <w:pPr>
      <w:spacing w:after="120"/>
      <w:jc w:val="both"/>
    </w:pPr>
    <w:rPr>
      <w:rFonts w:ascii="Arial" w:hAnsi="Arial" w:cs="Arial"/>
      <w:sz w:val="28"/>
      <w:szCs w:val="28"/>
      <w:lang w:val="pt-PT" w:eastAsia="pt-PT"/>
    </w:rPr>
  </w:style>
  <w:style w:type="paragraph" w:styleId="Heading1">
    <w:name w:val="heading 1"/>
    <w:basedOn w:val="Heading2"/>
    <w:next w:val="Normal"/>
    <w:qFormat/>
    <w:rsid w:val="00752A10"/>
    <w:pPr>
      <w:numPr>
        <w:ilvl w:val="0"/>
      </w:numPr>
      <w:spacing w:before="600" w:after="360"/>
      <w:ind w:left="357" w:hanging="357"/>
      <w:outlineLvl w:val="0"/>
    </w:pPr>
    <w:rPr>
      <w:sz w:val="36"/>
      <w:szCs w:val="36"/>
    </w:rPr>
  </w:style>
  <w:style w:type="paragraph" w:styleId="Heading2">
    <w:name w:val="heading 2"/>
    <w:basedOn w:val="Heading3"/>
    <w:next w:val="Normal"/>
    <w:qFormat/>
    <w:rsid w:val="00FD2AD4"/>
    <w:pPr>
      <w:numPr>
        <w:ilvl w:val="1"/>
        <w:numId w:val="6"/>
      </w:numPr>
      <w:tabs>
        <w:tab w:val="left" w:pos="1134"/>
      </w:tabs>
      <w:spacing w:before="480" w:after="240"/>
      <w:ind w:left="788" w:hanging="431"/>
      <w:outlineLvl w:val="1"/>
    </w:pPr>
  </w:style>
  <w:style w:type="paragraph" w:styleId="Heading3">
    <w:name w:val="heading 3"/>
    <w:basedOn w:val="Normal"/>
    <w:next w:val="Normal"/>
    <w:qFormat/>
    <w:rsid w:val="00617685"/>
    <w:pPr>
      <w:keepNext/>
      <w:spacing w:after="100"/>
      <w:outlineLvl w:val="2"/>
    </w:pPr>
    <w:rPr>
      <w:b/>
      <w:sz w:val="32"/>
    </w:rPr>
  </w:style>
  <w:style w:type="paragraph" w:styleId="Heading4">
    <w:name w:val="heading 4"/>
    <w:basedOn w:val="Normal"/>
    <w:next w:val="Normal"/>
    <w:qFormat/>
    <w:rsid w:val="00617685"/>
    <w:pPr>
      <w:keepNext/>
      <w:spacing w:after="80"/>
      <w:outlineLvl w:val="3"/>
    </w:pPr>
    <w:rPr>
      <w:b/>
    </w:rPr>
  </w:style>
  <w:style w:type="paragraph" w:styleId="Heading5">
    <w:name w:val="heading 5"/>
    <w:basedOn w:val="Normal"/>
    <w:next w:val="Normal"/>
    <w:qFormat/>
    <w:rsid w:val="00617685"/>
    <w:pPr>
      <w:keepNext/>
      <w:spacing w:after="60"/>
      <w:outlineLvl w:val="4"/>
    </w:pPr>
    <w:rPr>
      <w:b/>
    </w:rPr>
  </w:style>
  <w:style w:type="paragraph" w:styleId="Heading6">
    <w:name w:val="heading 6"/>
    <w:basedOn w:val="Normal"/>
    <w:next w:val="Normal"/>
    <w:qFormat/>
    <w:rsid w:val="00617685"/>
    <w:pPr>
      <w:keepNext/>
      <w:spacing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ubheading">
    <w:name w:val="Subheading"/>
    <w:basedOn w:val="Normal"/>
    <w:next w:val="Normal"/>
    <w:rsid w:val="00F52847"/>
    <w:pPr>
      <w:keepNext/>
    </w:pPr>
    <w:rPr>
      <w:b/>
      <w:sz w:val="32"/>
    </w:rPr>
  </w:style>
  <w:style w:type="paragraph" w:styleId="Title">
    <w:name w:val="Title"/>
    <w:basedOn w:val="Normal"/>
    <w:next w:val="Normal"/>
    <w:qFormat/>
    <w:rsid w:val="00752A10"/>
    <w:pPr>
      <w:keepNext/>
      <w:spacing w:before="240" w:after="60"/>
      <w:jc w:val="center"/>
      <w:outlineLvl w:val="0"/>
    </w:pPr>
    <w:rPr>
      <w:b/>
      <w:bCs/>
      <w:kern w:val="28"/>
      <w:sz w:val="40"/>
      <w:szCs w:val="40"/>
    </w:rPr>
  </w:style>
  <w:style w:type="paragraph" w:styleId="Subtitle">
    <w:name w:val="Subtitle"/>
    <w:basedOn w:val="Normal"/>
    <w:next w:val="Normal"/>
    <w:qFormat/>
    <w:rsid w:val="00F52847"/>
    <w:pPr>
      <w:keepNext/>
      <w:spacing w:before="60" w:after="60"/>
      <w:jc w:val="center"/>
    </w:pPr>
    <w:rPr>
      <w:b/>
      <w:sz w:val="40"/>
    </w:rPr>
  </w:style>
  <w:style w:type="paragraph" w:styleId="Quote">
    <w:name w:val="Quote"/>
    <w:basedOn w:val="Normal"/>
    <w:qFormat/>
    <w:rsid w:val="00617685"/>
    <w:pPr>
      <w:ind w:left="794" w:right="794"/>
    </w:pPr>
  </w:style>
  <w:style w:type="paragraph" w:styleId="Caption">
    <w:name w:val="caption"/>
    <w:basedOn w:val="Normal"/>
    <w:next w:val="Normal"/>
    <w:qFormat/>
    <w:rsid w:val="00F52847"/>
    <w:rPr>
      <w:b/>
      <w:bCs/>
      <w:sz w:val="20"/>
    </w:rPr>
  </w:style>
  <w:style w:type="paragraph" w:styleId="ListBullet">
    <w:name w:val="List Bullet"/>
    <w:basedOn w:val="Normal"/>
    <w:rsid w:val="00617685"/>
    <w:pPr>
      <w:numPr>
        <w:numId w:val="1"/>
      </w:numPr>
      <w:tabs>
        <w:tab w:val="left" w:pos="567"/>
      </w:tabs>
    </w:pPr>
  </w:style>
  <w:style w:type="paragraph" w:styleId="ListNumber">
    <w:name w:val="List Number"/>
    <w:basedOn w:val="Normal"/>
    <w:link w:val="ListNumberChar"/>
    <w:rsid w:val="00617685"/>
    <w:pPr>
      <w:numPr>
        <w:numId w:val="2"/>
      </w:numPr>
      <w:tabs>
        <w:tab w:val="left" w:pos="851"/>
      </w:tabs>
    </w:pPr>
  </w:style>
  <w:style w:type="paragraph" w:styleId="TableofFigures">
    <w:name w:val="table of figures"/>
    <w:basedOn w:val="Normal"/>
    <w:next w:val="Normal"/>
    <w:semiHidden/>
    <w:rsid w:val="00F52847"/>
  </w:style>
  <w:style w:type="paragraph" w:customStyle="1" w:styleId="Style2">
    <w:name w:val="Style2"/>
    <w:basedOn w:val="Normal"/>
    <w:rsid w:val="006934E8"/>
    <w:rPr>
      <w:b/>
      <w:sz w:val="32"/>
    </w:rPr>
  </w:style>
  <w:style w:type="paragraph" w:customStyle="1" w:styleId="Heading11">
    <w:name w:val="Heading 11"/>
    <w:basedOn w:val="Normal"/>
    <w:autoRedefine/>
    <w:rsid w:val="006934E8"/>
    <w:rPr>
      <w:b/>
      <w:sz w:val="32"/>
    </w:rPr>
  </w:style>
  <w:style w:type="character" w:customStyle="1" w:styleId="ListNumberChar">
    <w:name w:val="List Number Char"/>
    <w:link w:val="ListNumber"/>
    <w:rsid w:val="00203974"/>
    <w:rPr>
      <w:rFonts w:ascii="Arial" w:hAnsi="Arial" w:cs="Arial"/>
      <w:sz w:val="28"/>
      <w:szCs w:val="28"/>
      <w:lang w:val="pt-PT" w:eastAsia="pt-PT"/>
    </w:rPr>
  </w:style>
  <w:style w:type="paragraph" w:styleId="Header">
    <w:name w:val="header"/>
    <w:basedOn w:val="Normal"/>
    <w:link w:val="HeaderChar"/>
    <w:uiPriority w:val="99"/>
    <w:rsid w:val="00203974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203974"/>
    <w:rPr>
      <w:rFonts w:ascii="Arial" w:hAnsi="Arial"/>
      <w:sz w:val="28"/>
      <w:lang w:val="pt-PT" w:eastAsia="pt-PT"/>
    </w:rPr>
  </w:style>
  <w:style w:type="paragraph" w:styleId="Footer">
    <w:name w:val="footer"/>
    <w:basedOn w:val="Normal"/>
    <w:link w:val="FooterChar"/>
    <w:rsid w:val="00203974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rsid w:val="00203974"/>
    <w:rPr>
      <w:rFonts w:ascii="Arial" w:hAnsi="Arial"/>
      <w:sz w:val="28"/>
      <w:lang w:val="pt-PT" w:eastAsia="pt-PT"/>
    </w:rPr>
  </w:style>
  <w:style w:type="paragraph" w:styleId="BalloonText">
    <w:name w:val="Balloon Text"/>
    <w:basedOn w:val="Normal"/>
    <w:link w:val="BalloonTextChar"/>
    <w:rsid w:val="0014046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140462"/>
    <w:rPr>
      <w:rFonts w:ascii="Tahoma" w:hAnsi="Tahoma" w:cs="Tahoma"/>
      <w:sz w:val="16"/>
      <w:szCs w:val="16"/>
      <w:lang w:val="pt-PT" w:eastAsia="pt-PT"/>
    </w:rPr>
  </w:style>
  <w:style w:type="paragraph" w:styleId="ListParagraph">
    <w:name w:val="List Paragraph"/>
    <w:basedOn w:val="Normal"/>
    <w:uiPriority w:val="34"/>
    <w:qFormat/>
    <w:rsid w:val="00BA1151"/>
    <w:pPr>
      <w:ind w:left="720"/>
      <w:contextualSpacing/>
    </w:pPr>
  </w:style>
  <w:style w:type="character" w:styleId="Hyperlink">
    <w:name w:val="Hyperlink"/>
    <w:rsid w:val="005C7960"/>
    <w:rPr>
      <w:color w:val="0000FF"/>
      <w:u w:val="single"/>
      <w:lang w:val="pt-PT" w:eastAsia="pt-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://ec.europa.eu/progress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euroblind.org/working-areas/rehabilitation-vocational-training-and-employment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918</Words>
  <Characters>5292</Characters>
  <Application>Microsoft Office Word</Application>
  <DocSecurity>0</DocSecurity>
  <Lines>44</Lines>
  <Paragraphs>12</Paragraphs>
  <ScaleCrop>false</ScaleCrop>
  <HeadingPairs>
    <vt:vector size="6" baseType="variant">
      <vt:variant>
        <vt:lpstr>Título</vt:lpstr>
      </vt:variant>
      <vt:variant>
        <vt:i4>1</vt:i4>
      </vt:variant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RNIB</Company>
  <LinksUpToDate>false</LinksUpToDate>
  <CharactersWithSpaces>6198</CharactersWithSpaces>
  <SharedDoc>false</SharedDoc>
  <HLinks>
    <vt:vector size="12" baseType="variant">
      <vt:variant>
        <vt:i4>5374024</vt:i4>
      </vt:variant>
      <vt:variant>
        <vt:i4>3</vt:i4>
      </vt:variant>
      <vt:variant>
        <vt:i4>0</vt:i4>
      </vt:variant>
      <vt:variant>
        <vt:i4>5</vt:i4>
      </vt:variant>
      <vt:variant>
        <vt:lpwstr>http://ec.europa.eu/progress</vt:lpwstr>
      </vt:variant>
      <vt:variant>
        <vt:lpwstr/>
      </vt:variant>
      <vt:variant>
        <vt:i4>393225</vt:i4>
      </vt:variant>
      <vt:variant>
        <vt:i4>0</vt:i4>
      </vt:variant>
      <vt:variant>
        <vt:i4>0</vt:i4>
      </vt:variant>
      <vt:variant>
        <vt:i4>5</vt:i4>
      </vt:variant>
      <vt:variant>
        <vt:lpwstr>http://www.euroblind.org/working-areas/rehabilitation-vocational-training-and-employment/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PSimkiss</dc:creator>
  <cp:lastModifiedBy>ETLS</cp:lastModifiedBy>
  <cp:revision>3</cp:revision>
  <dcterms:created xsi:type="dcterms:W3CDTF">2013-11-21T20:45:00Z</dcterms:created>
  <dcterms:modified xsi:type="dcterms:W3CDTF">2013-11-21T21:35:00Z</dcterms:modified>
</cp:coreProperties>
</file>